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2">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Talent Acquisition Specialist</w:t>
      </w:r>
    </w:p>
    <w:p w:rsidR="00000000" w:rsidDel="00000000" w:rsidP="00000000" w:rsidRDefault="00000000" w:rsidRPr="00000000" w14:paraId="00000004">
      <w:pPr>
        <w:pageBreakBefore w:val="0"/>
        <w:jc w:val="center"/>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05">
      <w:pPr>
        <w:pageBreakBefore w:val="0"/>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6">
      <w:pPr>
        <w:spacing w:line="276" w:lineRule="auto"/>
        <w:jc w:val="both"/>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Founded in 2014 in the Czech Republic, Rohlik is the European leader of e-grocery in Central Europe. Already active in the Czech Republic (</w:t>
      </w:r>
      <w:hyperlink r:id="rId7">
        <w:r w:rsidDel="00000000" w:rsidR="00000000" w:rsidRPr="00000000">
          <w:rPr>
            <w:rFonts w:ascii="Calibri" w:cs="Calibri" w:eastAsia="Calibri" w:hAnsi="Calibri"/>
            <w:color w:val="555555"/>
            <w:highlight w:val="white"/>
            <w:rtl w:val="0"/>
          </w:rPr>
          <w:t xml:space="preserve">Rohlik.cz</w:t>
        </w:r>
      </w:hyperlink>
      <w:r w:rsidDel="00000000" w:rsidR="00000000" w:rsidRPr="00000000">
        <w:rPr>
          <w:rFonts w:ascii="Calibri" w:cs="Calibri" w:eastAsia="Calibri" w:hAnsi="Calibri"/>
          <w:color w:val="555555"/>
          <w:highlight w:val="white"/>
          <w:rtl w:val="0"/>
        </w:rPr>
        <w:t xml:space="preserve">), Hungary (</w:t>
      </w:r>
      <w:hyperlink r:id="rId8">
        <w:r w:rsidDel="00000000" w:rsidR="00000000" w:rsidRPr="00000000">
          <w:rPr>
            <w:rFonts w:ascii="Calibri" w:cs="Calibri" w:eastAsia="Calibri" w:hAnsi="Calibri"/>
            <w:color w:val="555555"/>
            <w:highlight w:val="white"/>
            <w:rtl w:val="0"/>
          </w:rPr>
          <w:t xml:space="preserve">Kifli.hu</w:t>
        </w:r>
      </w:hyperlink>
      <w:r w:rsidDel="00000000" w:rsidR="00000000" w:rsidRPr="00000000">
        <w:rPr>
          <w:rFonts w:ascii="Calibri" w:cs="Calibri" w:eastAsia="Calibri" w:hAnsi="Calibri"/>
          <w:color w:val="555555"/>
          <w:highlight w:val="white"/>
          <w:rtl w:val="0"/>
        </w:rPr>
        <w:t xml:space="preserve">) and Austria (</w:t>
      </w:r>
      <w:hyperlink r:id="rId9">
        <w:r w:rsidDel="00000000" w:rsidR="00000000" w:rsidRPr="00000000">
          <w:rPr>
            <w:rFonts w:ascii="Calibri" w:cs="Calibri" w:eastAsia="Calibri" w:hAnsi="Calibri"/>
            <w:color w:val="555555"/>
            <w:highlight w:val="white"/>
            <w:rtl w:val="0"/>
          </w:rPr>
          <w:t xml:space="preserve">Gurkerl.at</w:t>
        </w:r>
      </w:hyperlink>
      <w:r w:rsidDel="00000000" w:rsidR="00000000" w:rsidRPr="00000000">
        <w:rPr>
          <w:rFonts w:ascii="Calibri" w:cs="Calibri" w:eastAsia="Calibri" w:hAnsi="Calibri"/>
          <w:color w:val="555555"/>
          <w:highlight w:val="white"/>
          <w:rtl w:val="0"/>
        </w:rPr>
        <w:t xml:space="preserve">), the and now also in Germany (</w:t>
      </w:r>
      <w:hyperlink r:id="rId10">
        <w:r w:rsidDel="00000000" w:rsidR="00000000" w:rsidRPr="00000000">
          <w:rPr>
            <w:rFonts w:ascii="Calibri" w:cs="Calibri" w:eastAsia="Calibri" w:hAnsi="Calibri"/>
            <w:color w:val="555555"/>
            <w:highlight w:val="white"/>
            <w:rtl w:val="0"/>
          </w:rPr>
          <w:t xml:space="preserve">Knuspr.de</w:t>
        </w:r>
      </w:hyperlink>
      <w:r w:rsidDel="00000000" w:rsidR="00000000" w:rsidRPr="00000000">
        <w:rPr>
          <w:rFonts w:ascii="Calibri" w:cs="Calibri" w:eastAsia="Calibri" w:hAnsi="Calibri"/>
          <w:color w:val="555555"/>
          <w:highlight w:val="white"/>
          <w:rtl w:val="0"/>
        </w:rPr>
        <w:t xml:space="preserve">). By owning its end-to-end operations, including all technology in-house, Rohlik provides a superior customer experience and the freshest food from local farmers and artisans, as well as a broad supermarket selection.</w:t>
      </w:r>
    </w:p>
    <w:p w:rsidR="00000000" w:rsidDel="00000000" w:rsidP="00000000" w:rsidRDefault="00000000" w:rsidRPr="00000000" w14:paraId="00000007">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b w:val="1"/>
        </w:rPr>
      </w:pPr>
      <w:r w:rsidDel="00000000" w:rsidR="00000000" w:rsidRPr="00000000">
        <w:rPr>
          <w:rFonts w:ascii="Calibri" w:cs="Calibri" w:eastAsia="Calibri" w:hAnsi="Calibri"/>
          <w:color w:val="555555"/>
          <w:highlight w:val="white"/>
          <w:rtl w:val="0"/>
        </w:rPr>
        <w:t xml:space="preserve">International recruitment team plays an essential part in the Rohlik Group growth strategy. We are currently present in 4 countries (CZ, HU, AT, DE), the future plan is to double our presence in the European Market and more. It is the role of the Recruitment department to support C-level leadership to build their teams for successful roll out of our international presence.  </w:t>
      </w:r>
      <w:r w:rsidDel="00000000" w:rsidR="00000000" w:rsidRPr="00000000">
        <w:rPr>
          <w:rtl w:val="0"/>
        </w:rPr>
      </w:r>
    </w:p>
    <w:p w:rsidR="00000000" w:rsidDel="00000000" w:rsidP="00000000" w:rsidRDefault="00000000" w:rsidRPr="00000000" w14:paraId="0000000A">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pageBreakBefore w:val="0"/>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Role Overview </w:t>
      </w:r>
      <w:r w:rsidDel="00000000" w:rsidR="00000000" w:rsidRPr="00000000">
        <w:rPr>
          <w:rtl w:val="0"/>
        </w:rPr>
      </w:r>
    </w:p>
    <w:p w:rsidR="00000000" w:rsidDel="00000000" w:rsidP="00000000" w:rsidRDefault="00000000" w:rsidRPr="00000000" w14:paraId="0000000C">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color w:val="555555"/>
          <w:highlight w:val="white"/>
          <w:rtl w:val="0"/>
        </w:rPr>
        <w:t xml:space="preserve">As a  TA Specialist  you will be responsible for creating and implementing hiring strategies, networking and mapping the best talent there is on the market. The World is your oyster when it comes to this. You will continuously bring new hiring ideas to the management of the function you own. You will identify them, catch them and bring them on board whilst maintaining top candidate experience. You will be the employer brand ambassador of Rohlik Group. </w:t>
      </w:r>
      <w:r w:rsidDel="00000000" w:rsidR="00000000" w:rsidRPr="00000000">
        <w:rPr>
          <w:rtl w:val="0"/>
        </w:rPr>
      </w:r>
    </w:p>
    <w:p w:rsidR="00000000" w:rsidDel="00000000" w:rsidP="00000000" w:rsidRDefault="00000000" w:rsidRPr="00000000" w14:paraId="0000000D">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0E">
      <w:pPr>
        <w:pageBreakBefore w:val="0"/>
        <w:numPr>
          <w:ilvl w:val="0"/>
          <w:numId w:val="2"/>
        </w:numPr>
        <w:spacing w:line="276" w:lineRule="auto"/>
        <w:ind w:left="720" w:hanging="360"/>
        <w:rPr>
          <w:rFonts w:ascii="Calibri" w:cs="Calibri" w:eastAsia="Calibri" w:hAnsi="Calibri"/>
          <w:color w:val="666666"/>
        </w:rPr>
      </w:pPr>
      <w:r w:rsidDel="00000000" w:rsidR="00000000" w:rsidRPr="00000000">
        <w:rPr>
          <w:rFonts w:ascii="Calibri" w:cs="Calibri" w:eastAsia="Calibri" w:hAnsi="Calibri"/>
          <w:color w:val="666666"/>
          <w:highlight w:val="white"/>
          <w:rtl w:val="0"/>
        </w:rPr>
        <w:t xml:space="preserve">Ownership </w:t>
      </w:r>
      <w:r w:rsidDel="00000000" w:rsidR="00000000" w:rsidRPr="00000000">
        <w:rPr>
          <w:rtl w:val="0"/>
        </w:rPr>
      </w:r>
    </w:p>
    <w:p w:rsidR="00000000" w:rsidDel="00000000" w:rsidP="00000000" w:rsidRDefault="00000000" w:rsidRPr="00000000" w14:paraId="0000000F">
      <w:pPr>
        <w:pageBreakBefore w:val="0"/>
        <w:numPr>
          <w:ilvl w:val="0"/>
          <w:numId w:val="2"/>
        </w:numPr>
        <w:spacing w:line="276" w:lineRule="auto"/>
        <w:ind w:left="720" w:hanging="360"/>
        <w:rPr>
          <w:rFonts w:ascii="Calibri" w:cs="Calibri" w:eastAsia="Calibri" w:hAnsi="Calibri"/>
          <w:color w:val="666666"/>
          <w:highlight w:val="white"/>
          <w:u w:val="none"/>
        </w:rPr>
      </w:pPr>
      <w:r w:rsidDel="00000000" w:rsidR="00000000" w:rsidRPr="00000000">
        <w:rPr>
          <w:rFonts w:ascii="Calibri" w:cs="Calibri" w:eastAsia="Calibri" w:hAnsi="Calibri"/>
          <w:color w:val="666666"/>
          <w:highlight w:val="white"/>
          <w:rtl w:val="0"/>
        </w:rPr>
        <w:t xml:space="preserve">Focus on delivery</w:t>
      </w:r>
      <w:r w:rsidDel="00000000" w:rsidR="00000000" w:rsidRPr="00000000">
        <w:rPr>
          <w:rtl w:val="0"/>
        </w:rPr>
      </w:r>
    </w:p>
    <w:p w:rsidR="00000000" w:rsidDel="00000000" w:rsidP="00000000" w:rsidRDefault="00000000" w:rsidRPr="00000000" w14:paraId="00000010">
      <w:pPr>
        <w:pageBreakBefore w:val="0"/>
        <w:numPr>
          <w:ilvl w:val="0"/>
          <w:numId w:val="2"/>
        </w:numPr>
        <w:spacing w:line="276" w:lineRule="auto"/>
        <w:ind w:left="720" w:hanging="360"/>
        <w:rPr>
          <w:rFonts w:ascii="Calibri" w:cs="Calibri" w:eastAsia="Calibri" w:hAnsi="Calibri"/>
          <w:color w:val="666666"/>
          <w:highlight w:val="white"/>
        </w:rPr>
      </w:pPr>
      <w:r w:rsidDel="00000000" w:rsidR="00000000" w:rsidRPr="00000000">
        <w:rPr>
          <w:rFonts w:ascii="Calibri" w:cs="Calibri" w:eastAsia="Calibri" w:hAnsi="Calibri"/>
          <w:color w:val="666666"/>
          <w:highlight w:val="white"/>
          <w:rtl w:val="0"/>
        </w:rPr>
        <w:t xml:space="preserve">Excellent Stakeholder management </w:t>
      </w:r>
    </w:p>
    <w:p w:rsidR="00000000" w:rsidDel="00000000" w:rsidP="00000000" w:rsidRDefault="00000000" w:rsidRPr="00000000" w14:paraId="00000011">
      <w:pPr>
        <w:pageBreakBefore w:val="0"/>
        <w:numPr>
          <w:ilvl w:val="0"/>
          <w:numId w:val="2"/>
        </w:numPr>
        <w:spacing w:line="276" w:lineRule="auto"/>
        <w:ind w:left="720" w:hanging="360"/>
        <w:rPr>
          <w:rFonts w:ascii="Calibri" w:cs="Calibri" w:eastAsia="Calibri" w:hAnsi="Calibri"/>
          <w:color w:val="666666"/>
          <w:highlight w:val="white"/>
        </w:rPr>
      </w:pPr>
      <w:r w:rsidDel="00000000" w:rsidR="00000000" w:rsidRPr="00000000">
        <w:rPr>
          <w:rFonts w:ascii="Calibri" w:cs="Calibri" w:eastAsia="Calibri" w:hAnsi="Calibri"/>
          <w:color w:val="666666"/>
          <w:highlight w:val="white"/>
          <w:rtl w:val="0"/>
        </w:rPr>
        <w:t xml:space="preserve">Market knowledge &amp; expertise </w:t>
      </w:r>
    </w:p>
    <w:p w:rsidR="00000000" w:rsidDel="00000000" w:rsidP="00000000" w:rsidRDefault="00000000" w:rsidRPr="00000000" w14:paraId="00000012">
      <w:pPr>
        <w:pageBreakBefore w:val="0"/>
        <w:spacing w:line="276" w:lineRule="auto"/>
        <w:ind w:left="0" w:firstLine="0"/>
        <w:rPr>
          <w:rFonts w:ascii="Calibri" w:cs="Calibri" w:eastAsia="Calibri" w:hAnsi="Calibri"/>
          <w:color w:val="222222"/>
          <w:highlight w:val="white"/>
        </w:rPr>
      </w:pPr>
      <w:r w:rsidDel="00000000" w:rsidR="00000000" w:rsidRPr="00000000">
        <w:rPr>
          <w:rtl w:val="0"/>
        </w:rPr>
      </w:r>
    </w:p>
    <w:p w:rsidR="00000000" w:rsidDel="00000000" w:rsidP="00000000" w:rsidRDefault="00000000" w:rsidRPr="00000000" w14:paraId="00000013">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14">
      <w:pPr>
        <w:pageBreakBefore w:val="0"/>
        <w:numPr>
          <w:ilvl w:val="0"/>
          <w:numId w:val="3"/>
        </w:numPr>
        <w:shd w:fill="ffffff" w:val="clear"/>
        <w:spacing w:after="0" w:line="276"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Proven track record in delivering against business demand</w:t>
      </w:r>
    </w:p>
    <w:p w:rsidR="00000000" w:rsidDel="00000000" w:rsidP="00000000" w:rsidRDefault="00000000" w:rsidRPr="00000000" w14:paraId="00000015">
      <w:pPr>
        <w:pageBreakBefore w:val="0"/>
        <w:numPr>
          <w:ilvl w:val="0"/>
          <w:numId w:val="3"/>
        </w:numPr>
        <w:shd w:fill="ffffff" w:val="clear"/>
        <w:spacing w:after="0" w:line="276" w:lineRule="auto"/>
        <w:ind w:left="720" w:hanging="360"/>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Ability to perform thorough candidate assessment (Culture fit, soft skills, relevant knowledge)</w:t>
      </w:r>
      <w:r w:rsidDel="00000000" w:rsidR="00000000" w:rsidRPr="00000000">
        <w:rPr>
          <w:rtl w:val="0"/>
        </w:rPr>
      </w:r>
    </w:p>
    <w:p w:rsidR="00000000" w:rsidDel="00000000" w:rsidP="00000000" w:rsidRDefault="00000000" w:rsidRPr="00000000" w14:paraId="00000016">
      <w:pPr>
        <w:pageBreakBefore w:val="0"/>
        <w:numPr>
          <w:ilvl w:val="0"/>
          <w:numId w:val="3"/>
        </w:numPr>
        <w:shd w:fill="ffffff" w:val="clear"/>
        <w:spacing w:after="0" w:line="276" w:lineRule="auto"/>
        <w:ind w:left="720" w:hanging="360"/>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Hands on experience with various selection processes</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Excellent communication and interpersonal skills</w:t>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Strong decision-making skills</w:t>
      </w:r>
    </w:p>
    <w:p w:rsidR="00000000" w:rsidDel="00000000" w:rsidP="00000000" w:rsidRDefault="00000000" w:rsidRPr="00000000" w14:paraId="00000019">
      <w:pPr>
        <w:pageBreakBefore w:val="0"/>
        <w:numPr>
          <w:ilvl w:val="0"/>
          <w:numId w:val="3"/>
        </w:numPr>
        <w:shd w:fill="ffffff" w:val="clear"/>
        <w:spacing w:after="0" w:line="276" w:lineRule="auto"/>
        <w:ind w:left="720" w:hanging="360"/>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Ability to work independently</w:t>
      </w:r>
      <w:r w:rsidDel="00000000" w:rsidR="00000000" w:rsidRPr="00000000">
        <w:rPr>
          <w:rtl w:val="0"/>
        </w:rPr>
      </w:r>
    </w:p>
    <w:p w:rsidR="00000000" w:rsidDel="00000000" w:rsidP="00000000" w:rsidRDefault="00000000" w:rsidRPr="00000000" w14:paraId="0000001A">
      <w:pPr>
        <w:pageBreakBefore w:val="0"/>
        <w:numPr>
          <w:ilvl w:val="0"/>
          <w:numId w:val="3"/>
        </w:numPr>
        <w:shd w:fill="ffffff" w:val="clear"/>
        <w:spacing w:after="120" w:line="360" w:lineRule="auto"/>
        <w:ind w:left="720" w:hanging="360"/>
        <w:rPr>
          <w:rFonts w:ascii="Calibri" w:cs="Calibri" w:eastAsia="Calibri" w:hAnsi="Calibri"/>
          <w:color w:val="434343"/>
          <w:u w:val="none"/>
        </w:rPr>
      </w:pPr>
      <w:r w:rsidDel="00000000" w:rsidR="00000000" w:rsidRPr="00000000">
        <w:rPr>
          <w:rFonts w:ascii="Calibri" w:cs="Calibri" w:eastAsia="Calibri" w:hAnsi="Calibri"/>
          <w:color w:val="434343"/>
          <w:rtl w:val="0"/>
        </w:rPr>
        <w:t xml:space="preserve">Language expertise (English &amp; other language is a plus)</w:t>
      </w:r>
      <w:r w:rsidDel="00000000" w:rsidR="00000000" w:rsidRPr="00000000">
        <w:rPr>
          <w:rtl w:val="0"/>
        </w:rPr>
      </w:r>
    </w:p>
    <w:p w:rsidR="00000000" w:rsidDel="00000000" w:rsidP="00000000" w:rsidRDefault="00000000" w:rsidRPr="00000000" w14:paraId="0000001B">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C">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KPI’s typical for the position </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Time to fill</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Candidate experience</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20" w:before="0" w:line="360" w:lineRule="auto"/>
        <w:ind w:left="720" w:right="0" w:hanging="360"/>
        <w:jc w:val="left"/>
        <w:rPr>
          <w:color w:val="555555"/>
          <w:sz w:val="18"/>
          <w:szCs w:val="18"/>
        </w:rPr>
      </w:pPr>
      <w:r w:rsidDel="00000000" w:rsidR="00000000" w:rsidRPr="00000000">
        <w:rPr>
          <w:rFonts w:ascii="Roboto" w:cs="Roboto" w:eastAsia="Roboto" w:hAnsi="Roboto"/>
          <w:color w:val="555555"/>
          <w:sz w:val="20"/>
          <w:szCs w:val="20"/>
          <w:highlight w:val="white"/>
          <w:rtl w:val="0"/>
        </w:rPr>
        <w:t xml:space="preserve">Delivery against target</w:t>
      </w:r>
      <w:r w:rsidDel="00000000" w:rsidR="00000000" w:rsidRPr="00000000">
        <w:rPr>
          <w:rtl w:val="0"/>
        </w:rPr>
      </w:r>
    </w:p>
    <w:p w:rsidR="00000000" w:rsidDel="00000000" w:rsidP="00000000" w:rsidRDefault="00000000" w:rsidRPr="00000000" w14:paraId="00000020">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21">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 </w:t>
      </w:r>
    </w:p>
    <w:p w:rsidR="00000000" w:rsidDel="00000000" w:rsidP="00000000" w:rsidRDefault="00000000" w:rsidRPr="00000000" w14:paraId="00000022">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3">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4">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5">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6">
      <w:pPr>
        <w:pageBreakBefore w:val="0"/>
        <w:numPr>
          <w:ilvl w:val="0"/>
          <w:numId w:val="1"/>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7">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ind w:left="720" w:firstLine="0"/>
        <w:jc w:val="center"/>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line="360" w:lineRule="auto"/>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pageBreakBefore w:val="0"/>
        <w:rPr>
          <w:rFonts w:ascii="Calibri" w:cs="Calibri" w:eastAsia="Calibri" w:hAnsi="Calibri"/>
          <w:sz w:val="24"/>
          <w:szCs w:val="24"/>
        </w:rPr>
      </w:pPr>
      <w:r w:rsidDel="00000000" w:rsidR="00000000" w:rsidRPr="00000000">
        <w:rPr>
          <w:rtl w:val="0"/>
        </w:rPr>
      </w:r>
    </w:p>
    <w:sectPr>
      <w:headerReference r:id="rId12" w:type="default"/>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-152396</wp:posOffset>
          </wp:positionV>
          <wp:extent cx="642938" cy="472904"/>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42938" cy="47290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jc w:val="right"/>
      <w:rPr/>
    </w:pPr>
    <w:r w:rsidDel="00000000" w:rsidR="00000000" w:rsidRPr="00000000">
      <w:rPr/>
      <w:drawing>
        <wp:inline distB="114300" distT="114300" distL="114300" distR="114300">
          <wp:extent cx="836287" cy="649731"/>
          <wp:effectExtent b="0" l="0" r="0" t="0"/>
          <wp:docPr id="1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knuspr.de/"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urkerl.a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ohlik.cz/" TargetMode="External"/><Relationship Id="rId8" Type="http://schemas.openxmlformats.org/officeDocument/2006/relationships/hyperlink" Target="http://kifli.h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8cqLCzY0fyiGq9jUcIjERmzsgA==">CgMxLjA4AHIhMUh5OTRKLWhTMldFaHhVRHk2b0d6dllpWTdyd3VYTVN5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