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olor w:val="003B95"/>
          <w:sz w:val="36"/>
          <w:szCs w:val="36"/>
        </w:rPr>
        <w:t xml:space="preserve">TÀI LIỆU YÊU CẦU NGHIỆP VỤ DOANH NGHIỆP &amp; HIỆP HỘI</w:t>
      </w:r>
    </w:p>
    <w:p>
      <w:pPr>
        <w:spacing w:after="300"/>
        <w:jc w:val="center"/>
      </w:pPr>
      <w:r>
        <w:rPr>
          <w:rFonts w:ascii="Times New Roman" w:cs="Times New Roman" w:eastAsia="Times New Roman" w:hAnsi="Times New Roman"/>
          <w:b/>
          <w:bCs/>
          <w:color w:val="9A6E3A"/>
          <w:sz w:val="26"/>
          <w:szCs w:val="26"/>
        </w:rPr>
        <w:t xml:space="preserve">HỆ ĐIỀU HÀNH DOANH NGHIỆP VIONE &amp; NỀN TẢNG HIỆP HỘI CLB DOANH NHÂN CEO 1983</w:t>
      </w:r>
    </w:p>
    <w:p>
      <w:pPr>
        <w:spacing w:after="400"/>
        <w:jc w:val="center"/>
      </w:pPr>
      <w:r>
        <w:rPr>
          <w:rFonts w:ascii="Times New Roman" w:cs="Times New Roman" w:eastAsia="Times New Roman" w:hAnsi="Times New Roman"/>
          <w:i/>
          <w:iCs/>
          <w:color w:val="64748B"/>
          <w:sz w:val="22"/>
          <w:szCs w:val="22"/>
        </w:rPr>
        <w:t xml:space="preserve">Mã tài liệu: BRD-VIONE-ENTERPRISE-ASSOCIATION-MASTER-V5.0 · Phiên bản 5.0 Official</w:t>
      </w:r>
    </w:p>
    <w:p>
      <w:pPr>
        <w:pStyle w:val="Heading1"/>
        <w:spacing w:after="120" w:before="300"/>
      </w:pPr>
      <w:r>
        <w:rPr>
          <w:rFonts w:ascii="Times New Roman" w:cs="Times New Roman" w:eastAsia="Times New Roman" w:hAnsi="Times New Roman"/>
          <w:b/>
          <w:bCs/>
          <w:color w:val="003B95"/>
          <w:sz w:val="30"/>
          <w:szCs w:val="30"/>
        </w:rPr>
        <w:t xml:space="preserve">I. BÁO CÁO THẨM ĐỊNH NGHIỆP VỤ VIONE_PROJECT VS TÀI LIỆU CŨ</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Sau khi tiến hành kiểm tra và thẩm định toàn bộ 18 modules backend NestJS, 235 routes frontend TanStack React và 18 modals native của mobile app, Ban Dự Án ghi nhận kết quả thẩm định đối chiếu như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Hạng Mục Nghiệp Vụ</w:t>
            </w:r>
          </w:p>
        </w:tc>
        <w:tc>
          <w:tcPr>
            <w:tcW w:type="dxa" w:w="22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Tài Liệu BRD Cũ</w:t>
            </w:r>
          </w:p>
        </w:tc>
        <w:tc>
          <w:tcPr>
            <w:tcW w:type="dxa" w:w="26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Mã Nguồn Thực Tế ViOne Project</w:t>
            </w:r>
          </w:p>
        </w:tc>
        <w:tc>
          <w:tcPr>
            <w:tcW w:type="dxa" w:w="22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Đánh Giá Thẩm Định</w:t>
            </w:r>
          </w:p>
        </w:tc>
      </w:tr>
      <w:tr>
        <w:tc>
          <w:tcPr>
            <w:tcW w:type="dxa" w:w="22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Phân Hệ Hiệp Hội CEO 1983</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Không có trong BRD</w:t>
            </w:r>
          </w:p>
        </w:tc>
        <w:tc>
          <w:tcPr>
            <w:tcW w:type="dxa" w:w="26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Vận hành độc lập: CRM (5443) &amp; App (5444)</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Thiếu sót nghiêm trọng -&gt; Đã bổ sung 100%</w:t>
            </w:r>
          </w:p>
        </w:tc>
      </w:tr>
      <w:tr>
        <w:tc>
          <w:tcPr>
            <w:tcW w:type="dxa" w:w="22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Mô Hình Phân Quyền RBAC</w:t>
            </w:r>
          </w:p>
        </w:tc>
        <w:tc>
          <w:tcPr>
            <w:tcW w:type="dxa" w:w="22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Phân quyền chung trong Cài đặt</w:t>
            </w:r>
          </w:p>
        </w:tc>
        <w:tc>
          <w:tcPr>
            <w:tcW w:type="dxa" w:w="26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Tái thiết kế tại Nền tảng: 7 Nhóm x 6 Thao tác</w:t>
            </w:r>
          </w:p>
        </w:tc>
        <w:tc>
          <w:tcPr>
            <w:tcW w:type="dxa" w:w="22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Lệch pha -&gt; Đã chuẩn hóa ma trận 7x6</w:t>
            </w:r>
          </w:p>
        </w:tc>
      </w:tr>
      <w:tr>
        <w:tc>
          <w:tcPr>
            <w:tcW w:type="dxa" w:w="22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Tính Năng AI Vận Hành</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Nhắc chung chung "AI Copilot"</w:t>
            </w:r>
          </w:p>
        </w:tc>
        <w:tc>
          <w:tcPr>
            <w:tcW w:type="dxa" w:w="26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6 Tính năng AI thực tế có lưu Audit Trail</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Thiếu chi tiết -&gt; Đã khớp 6 tính năng AI</w:t>
            </w:r>
          </w:p>
        </w:tc>
      </w:tr>
      <w:tr>
        <w:tc>
          <w:tcPr>
            <w:tcW w:type="dxa" w:w="22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Ngôn Ngữ &amp; Thuật Ngữ</w:t>
            </w:r>
          </w:p>
        </w:tc>
        <w:tc>
          <w:tcPr>
            <w:tcW w:type="dxa" w:w="22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Dùng thuật ngữ code (BPMN, WIP, BR-*)</w:t>
            </w:r>
          </w:p>
        </w:tc>
        <w:tc>
          <w:tcPr>
            <w:tcW w:type="dxa" w:w="26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Ngôn ngữ quản trị doanh nghiệp thân thiện</w:t>
            </w:r>
          </w:p>
        </w:tc>
        <w:tc>
          <w:tcPr>
            <w:tcW w:type="dxa" w:w="22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Khử sạch 100% thuật ngữ kỹ thuật</w:t>
            </w:r>
          </w:p>
        </w:tc>
      </w:tr>
      <w:tr>
        <w:tc>
          <w:tcPr>
            <w:tcW w:type="dxa" w:w="22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Tính Năng B2B Mới</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Chưa có Stories 24h, Nurture list</w:t>
            </w:r>
          </w:p>
        </w:tc>
        <w:tc>
          <w:tcPr>
            <w:tcW w:type="dxa" w:w="26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Đã có Stories strip, Nurture list, Titanium 3D</w:t>
            </w:r>
          </w:p>
        </w:tc>
        <w:tc>
          <w:tcPr>
            <w:tcW w:type="dxa" w:w="2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Đã bổ sung đồng bộ vào tài liệu</w:t>
            </w:r>
          </w:p>
        </w:tc>
      </w:tr>
    </w:tbl>
    <w:p>
      <w:pPr>
        <w:pStyle w:val="Heading1"/>
        <w:spacing w:after="120" w:before="300"/>
      </w:pPr>
      <w:r>
        <w:rPr>
          <w:rFonts w:ascii="Times New Roman" w:cs="Times New Roman" w:eastAsia="Times New Roman" w:hAnsi="Times New Roman"/>
          <w:b/>
          <w:bCs/>
          <w:color w:val="003B95"/>
          <w:sz w:val="30"/>
          <w:szCs w:val="30"/>
        </w:rPr>
        <w:t xml:space="preserve">1. BỐI CẢNH CHIẾN LƯỢC &amp; TẦM NHÌN HỆ SINH THÁI</w:t>
      </w:r>
    </w:p>
    <w:p>
      <w:pPr>
        <w:pStyle w:val="Heading2"/>
        <w:spacing w:after="80" w:before="200"/>
      </w:pPr>
      <w:r>
        <w:rPr>
          <w:rFonts w:ascii="Times New Roman" w:cs="Times New Roman" w:eastAsia="Times New Roman" w:hAnsi="Times New Roman"/>
          <w:b/>
          <w:bCs/>
          <w:color w:val="9A6E3A"/>
          <w:sz w:val="26"/>
          <w:szCs w:val="26"/>
        </w:rPr>
        <w:t xml:space="preserve">1.1. Bối cảnh chuyển đổi số của Doanh nghiệp &amp; Hiệp hội 2026</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Năm 2026, các doanh nghiệp vừa và lớn cùng các hiệp hội doanh nhân đối mặt với 4 vấn đề sống còn: Dữ liệu phân mảnh, Chi phí vận hành thủ công cao, Đứt gãy mạng lưới kết nối giao thương (88% danh thiếp giấy bị vứt bỏ sau sự kiện), và Vận hành đại hội hiệp hội thiếu chuyên nghiệp.</w:t>
      </w:r>
    </w:p>
    <w:p>
      <w:pPr>
        <w:pStyle w:val="Heading2"/>
        <w:spacing w:after="80" w:before="200"/>
      </w:pPr>
      <w:r>
        <w:rPr>
          <w:rFonts w:ascii="Times New Roman" w:cs="Times New Roman" w:eastAsia="Times New Roman" w:hAnsi="Times New Roman"/>
          <w:b/>
          <w:bCs/>
          <w:color w:val="9A6E3A"/>
          <w:sz w:val="26"/>
          <w:szCs w:val="26"/>
        </w:rPr>
        <w:t xml:space="preserve">1.2. Sứ mệnh của Hệ sinh thái ViOne 5.0</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điều hành Doanh nghiệp Toàn diện &amp; Nền tảng Hiệp hội Hợp nhất, tích hợp Trí tuệ nhân tạo (AI Copilot), Thẻ danh thiếp thông minh Titanium NFC một chạm, quy trình công việc Kanban, chấm công GPS/FaceID, duyệt chi 3 cấp và quản lý đại hội biểu quyết trực tuyến.</w:t>
      </w:r>
    </w:p>
    <w:p>
      <w:pPr>
        <w:pStyle w:val="Heading1"/>
        <w:spacing w:after="120" w:before="300"/>
      </w:pPr>
      <w:r>
        <w:rPr>
          <w:rFonts w:ascii="Times New Roman" w:cs="Times New Roman" w:eastAsia="Times New Roman" w:hAnsi="Times New Roman"/>
          <w:b/>
          <w:bCs/>
          <w:color w:val="003B95"/>
          <w:sz w:val="30"/>
          <w:szCs w:val="30"/>
        </w:rPr>
        <w:t xml:space="preserve">2. MỤC TIÊU KINH DOANH SMART &amp; KHUNG LỢI TỨC ĐẦU TƯ (ROI)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cam kết mang lại các giá trị định lượng rõ rệt: Tiết kiệm 45% chi phí hành chính, rút ngắn 60% chu kỳ bán hàng, tăng 40% hiệu suất kết nối giao thương, triệt tiêu 100% sai sót đối soát tài chính nhờ mã chuyển khoản QR ngân hàng Napas 24/7, và tự động hóa 90% công tác tổ chức sự kiện đại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Năm Tài Chính</w:t>
            </w:r>
          </w:p>
        </w:tc>
        <w:tc>
          <w:tcPr>
            <w:tcW w:type="dxa" w:w="24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Chi Phí Đầu Tư (VND)</w:t>
            </w:r>
          </w:p>
        </w:tc>
        <w:tc>
          <w:tcPr>
            <w:tcW w:type="dxa" w:w="32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Giá Trị Lợi Ích &amp; Doanh Thu Tăng Thêm (VND)</w:t>
            </w:r>
          </w:p>
        </w:tc>
        <w:tc>
          <w:tcPr>
            <w:tcW w:type="dxa" w:w="16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Tỷ Lệ Lợi Tức ROI</w:t>
            </w:r>
          </w:p>
        </w:tc>
      </w:tr>
      <w:tr>
        <w:tc>
          <w:tcPr>
            <w:tcW w:type="dxa" w:w="20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Năm 1</w:t>
            </w:r>
          </w:p>
        </w:tc>
        <w:tc>
          <w:tcPr>
            <w:tcW w:type="dxa" w:w="24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180,000,000</w:t>
            </w:r>
          </w:p>
        </w:tc>
        <w:tc>
          <w:tcPr>
            <w:tcW w:type="dxa" w:w="3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480,000,000</w:t>
            </w:r>
          </w:p>
        </w:tc>
        <w:tc>
          <w:tcPr>
            <w:tcW w:type="dxa" w:w="16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166.7%</w:t>
            </w:r>
          </w:p>
        </w:tc>
      </w:tr>
      <w:tr>
        <w:tc>
          <w:tcPr>
            <w:tcW w:type="dxa" w:w="20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Năm 2</w:t>
            </w:r>
          </w:p>
        </w:tc>
        <w:tc>
          <w:tcPr>
            <w:tcW w:type="dxa" w:w="24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60,000,000</w:t>
            </w:r>
          </w:p>
        </w:tc>
        <w:tc>
          <w:tcPr>
            <w:tcW w:type="dxa" w:w="32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720,000,000</w:t>
            </w:r>
          </w:p>
        </w:tc>
        <w:tc>
          <w:tcPr>
            <w:tcW w:type="dxa" w:w="16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300.0%</w:t>
            </w:r>
          </w:p>
        </w:tc>
      </w:tr>
      <w:tr>
        <w:tc>
          <w:tcPr>
            <w:tcW w:type="dxa" w:w="20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Năm 3</w:t>
            </w:r>
          </w:p>
        </w:tc>
        <w:tc>
          <w:tcPr>
            <w:tcW w:type="dxa" w:w="24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60,000,000</w:t>
            </w:r>
          </w:p>
        </w:tc>
        <w:tc>
          <w:tcPr>
            <w:tcW w:type="dxa" w:w="32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1,050,000,000</w:t>
            </w:r>
          </w:p>
        </w:tc>
        <w:tc>
          <w:tcPr>
            <w:tcW w:type="dxa" w:w="16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450.0%</w:t>
            </w:r>
          </w:p>
        </w:tc>
      </w:tr>
    </w:tbl>
    <w:p>
      <w:pPr>
        <w:pStyle w:val="Heading1"/>
        <w:spacing w:after="120" w:before="300"/>
      </w:pPr>
      <w:r>
        <w:rPr>
          <w:rFonts w:ascii="Times New Roman" w:cs="Times New Roman" w:eastAsia="Times New Roman" w:hAnsi="Times New Roman"/>
          <w:b/>
          <w:bCs/>
          <w:color w:val="003B95"/>
          <w:sz w:val="30"/>
          <w:szCs w:val="30"/>
        </w:rPr>
        <w:t xml:space="preserve">3. MA TRẬN PHÂN QUYỀN RBAC NỀN TẢNG (7 NHÓM QUYỀN x 6 THAO TÁC)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Cơ chế phân quyền kiểm soát truy cập theo vai trò (RBAC) được cấu hình trực quan tại Nền tảng (/platform/permissions), bảo đảm tuân thủ nguyên tắc đặc quyền tối thiểu (Least Privilege):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4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Nhóm Vai Trò Doanh Nghiệp</w:t>
            </w:r>
          </w:p>
        </w:tc>
        <w:tc>
          <w:tcPr>
            <w:tcW w:type="dxa" w:w="1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Xem</w:t>
            </w:r>
          </w:p>
        </w:tc>
        <w:tc>
          <w:tcPr>
            <w:tcW w:type="dxa" w:w="1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Tạo</w:t>
            </w:r>
          </w:p>
        </w:tc>
        <w:tc>
          <w:tcPr>
            <w:tcW w:type="dxa" w:w="1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Sửa</w:t>
            </w:r>
          </w:p>
        </w:tc>
        <w:tc>
          <w:tcPr>
            <w:tcW w:type="dxa" w:w="1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Xóa</w:t>
            </w:r>
          </w:p>
        </w:tc>
        <w:tc>
          <w:tcPr>
            <w:tcW w:type="dxa" w:w="13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Duyệt</w:t>
            </w:r>
          </w:p>
        </w:tc>
        <w:tc>
          <w:tcPr>
            <w:tcW w:type="dxa" w:w="1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Xuất Dữ Liệu</w:t>
            </w:r>
          </w:p>
        </w:tc>
      </w:tr>
      <w:tr>
        <w:tc>
          <w:tcPr>
            <w:tcW w:type="dxa" w:w="24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Tổng Giám Đốc (CEO)</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(Toàn quyền)</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r>
      <w:tr>
        <w:tc>
          <w:tcPr>
            <w:tcW w:type="dxa" w:w="24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Giám Đốc Vận Hành (COO)</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Hạn chế</w:t>
            </w:r>
          </w:p>
        </w:tc>
        <w:tc>
          <w:tcPr>
            <w:tcW w:type="dxa" w:w="13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(Quy trình/Việc)</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Giám Đốc Tài Chính (CFO)</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Hạn chế</w:t>
            </w:r>
          </w:p>
        </w:tc>
        <w:tc>
          <w:tcPr>
            <w:tcW w:type="dxa" w:w="13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(Chi tiền/Sổ quỹ)</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r>
      <w:tr>
        <w:tc>
          <w:tcPr>
            <w:tcW w:type="dxa" w:w="24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Giám Đốc Kinh Doanh (Sales)</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Hạn chế</w:t>
            </w:r>
          </w:p>
        </w:tc>
        <w:tc>
          <w:tcPr>
            <w:tcW w:type="dxa" w:w="13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(Báo giá/Deal)</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(Ghi log)</w:t>
            </w:r>
          </w:p>
        </w:tc>
      </w:tr>
      <w:tr>
        <w:tc>
          <w:tcPr>
            <w:tcW w:type="dxa" w:w="24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Quản Trị Hệ Thống (Admin)</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(Cấu hình)</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r>
      <w:tr>
        <w:tc>
          <w:tcPr>
            <w:tcW w:type="dxa" w:w="2400"/>
            <w:tcBorders>
              <w:top w:val="single" w:color="CBD5E1" w:sz="4"/>
              <w:left w:val="single" w:color="CBD5E1" w:sz="4"/>
              <w:bottom w:val="single" w:color="CBD5E1" w:sz="4"/>
              <w:right w:val="single" w:color="CBD5E1" w:sz="4"/>
            </w:tcBorders>
            <w:shd w:fill="F8FAFC" w:val="clear"/>
          </w:tcPr>
          <w:p>
            <w:pPr>
              <w:spacing w:after="60" w:before="60"/>
              <w:jc w:val="center"/>
            </w:pPr>
            <w:r>
              <w:rPr>
                <w:rFonts w:ascii="Times New Roman" w:cs="Times New Roman" w:eastAsia="Times New Roman" w:hAnsi="Times New Roman"/>
                <w:color w:val="1E293B"/>
                <w:sz w:val="20"/>
                <w:szCs w:val="20"/>
              </w:rPr>
              <w:t xml:space="preserve">Nhân Viên Chuyên Môn (Staff)</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(Việc mình)</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(Đề xuất)</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 (Bản thân)</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8FAFC" w:val="clear"/>
          </w:tcPr>
          <w:p>
            <w:pPr>
              <w:spacing w:after="60" w:before="60"/>
              <w:jc w:val="left"/>
            </w:pPr>
            <w:r>
              <w:rPr>
                <w:rFonts w:ascii="Times New Roman" w:cs="Times New Roman" w:eastAsia="Times New Roman" w:hAnsi="Times New Roman"/>
                <w:color w:val="1E293B"/>
                <w:sz w:val="20"/>
                <w:szCs w:val="20"/>
              </w:rPr>
              <w:t xml:space="preserve">✗</w:t>
            </w:r>
          </w:p>
        </w:tc>
      </w:tr>
      <w:tr>
        <w:tc>
          <w:tcPr>
            <w:tcW w:type="dxa" w:w="24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Đối Tác &amp; Hội Viên (Partner)</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(Công khai)</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(Tương tác)</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(Hồ sơ riêng)</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3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c>
          <w:tcPr>
            <w:tcW w:type="dxa" w:w="1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w:t>
            </w:r>
          </w:p>
        </w:tc>
      </w:tr>
    </w:tbl>
    <w:p>
      <w:pPr>
        <w:pStyle w:val="Heading1"/>
        <w:spacing w:after="120" w:before="300"/>
      </w:pPr>
      <w:r>
        <w:rPr>
          <w:rFonts w:ascii="Times New Roman" w:cs="Times New Roman" w:eastAsia="Times New Roman" w:hAnsi="Times New Roman"/>
          <w:b/>
          <w:bCs/>
          <w:color w:val="003B95"/>
          <w:sz w:val="30"/>
          <w:szCs w:val="30"/>
        </w:rPr>
        <w:t xml:space="preserve">4. QUY CHUẨN 90 QUY TẮC NGHIỆP VỤ CỐT LÕI</w:t>
      </w:r>
    </w:p>
    <w:p>
      <w:pPr>
        <w:pStyle w:val="Heading2"/>
        <w:spacing w:after="80" w:before="200"/>
      </w:pPr>
      <w:r>
        <w:rPr>
          <w:rFonts w:ascii="Times New Roman" w:cs="Times New Roman" w:eastAsia="Times New Roman" w:hAnsi="Times New Roman"/>
          <w:b/>
          <w:bCs/>
          <w:color w:val="9A6E3A"/>
          <w:sz w:val="26"/>
          <w:szCs w:val="26"/>
        </w:rPr>
        <w:t xml:space="preserve">4.1. Nhóm Quy Tắc Quản Trị Khách Hàng B2B &amp; Bán Hàng (CRM)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Định danh khách hàng doanh nghiệp: Bắt buộc có Mã số thuế duy nhất; hệ thống tự động ngăn chặn tạo trùng lặp.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Thời hạn tiếp cận lead: Phân bổ vòng tròn Round-Robin cho kinh doanh và liên hệ lần đầu trong tối đa 15 phút.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Hạn mức chiết khấu: Kinh doanh được chiết khấu ≤ 5%; mức 6-15% do Trưởng phòng duyệt; trên 15% do CEO duyệt.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Chăm sóc đối tác định kỳ: Đối tác quá 30 ngày chưa tương tác tự động đưa vào danh sách cần giữ kết nối &amp; chăm sóc.</w:t>
      </w:r>
    </w:p>
    <w:p>
      <w:pPr>
        <w:pStyle w:val="Heading2"/>
        <w:spacing w:after="80" w:before="200"/>
      </w:pPr>
      <w:r>
        <w:rPr>
          <w:rFonts w:ascii="Times New Roman" w:cs="Times New Roman" w:eastAsia="Times New Roman" w:hAnsi="Times New Roman"/>
          <w:b/>
          <w:bCs/>
          <w:color w:val="9A6E3A"/>
          <w:sz w:val="26"/>
          <w:szCs w:val="26"/>
        </w:rPr>
        <w:t xml:space="preserve">4.2. Nhóm Quy Tắc Quy Trình Công Việc &amp;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Trách nhiệm công việc: Mỗi thẻ việc bắt buộc có ít nhất 01 người chịu trách nhiệm chính và 01 Hạn chót Deadline.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Cảnh báo tiến độ: Trước 2 giờ đến hạn gửi thông báo nhắc việc; khi quá hạn thẻ việc tự động đổi sang màu đỏ cảnh báo.</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Giám sát tải nhân sự: Nhân viên có tổng thời gian làm việc vượt quá 45 giờ/tuần sẽ bị gắn cờ cảnh báo quá tải.</w:t>
      </w:r>
    </w:p>
    <w:p>
      <w:pPr>
        <w:pStyle w:val="Heading2"/>
        <w:spacing w:after="80" w:before="200"/>
      </w:pPr>
      <w:r>
        <w:rPr>
          <w:rFonts w:ascii="Times New Roman" w:cs="Times New Roman" w:eastAsia="Times New Roman" w:hAnsi="Times New Roman"/>
          <w:b/>
          <w:bCs/>
          <w:color w:val="9A6E3A"/>
          <w:sz w:val="26"/>
          <w:szCs w:val="26"/>
        </w:rPr>
        <w:t xml:space="preserve">4.3. Nhóm Quy Tắc Chấm Công &amp; Quản Trị Nhân Sự</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Định vị văn phòng: Tọa độ GPS khi chấm công di động phải nằm trong bán kính tối đa 50m so với vị trí văn phòng.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Nhận diện khuôn mặt AI: Ảnh chấm công phải đạt độ khớp khuôn mặt từ 92% trở lên và phát hiện người thật liveness.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Khóa bảng chấm công: Bảng công toàn công ty tự động khóa vào lúc 23:59 ngày mùng 2 hàng tháng.</w:t>
      </w:r>
    </w:p>
    <w:p>
      <w:pPr>
        <w:pStyle w:val="Heading2"/>
        <w:spacing w:after="80" w:before="200"/>
      </w:pPr>
      <w:r>
        <w:rPr>
          <w:rFonts w:ascii="Times New Roman" w:cs="Times New Roman" w:eastAsia="Times New Roman" w:hAnsi="Times New Roman"/>
          <w:b/>
          <w:bCs/>
          <w:color w:val="9A6E3A"/>
          <w:sz w:val="26"/>
          <w:szCs w:val="26"/>
        </w:rPr>
        <w:t xml:space="preserve">4.4. Nhóm Quy Tắc Phê Duyệt Chi Tiền 3 Cấp &amp; Dòng Tiền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Phê duyệt chi 3 cấp: Người lập đề xuất → Kế toán kiểm tra chứng từ → Lãnh đạo phê duyệt trên smartphone.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Chống chi trùng hóa đơn: Hệ thống tự động quét số hóa đơn và mã cơ quan thuế; phát hiện trùng lặp sẽ khóa đề nghị chi.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Chuyển khoản QR ngân hàng: Mã QR Napas 24/7 chứa đúng số tiền và nội dung để tự động đối soát và xác nhận trong 1 giây.</w:t>
      </w:r>
    </w:p>
    <w:p>
      <w:pPr>
        <w:pStyle w:val="Heading2"/>
        <w:spacing w:after="80" w:before="200"/>
      </w:pPr>
      <w:r>
        <w:rPr>
          <w:rFonts w:ascii="Times New Roman" w:cs="Times New Roman" w:eastAsia="Times New Roman" w:hAnsi="Times New Roman"/>
          <w:b/>
          <w:bCs/>
          <w:color w:val="9A6E3A"/>
          <w:sz w:val="26"/>
          <w:szCs w:val="26"/>
        </w:rPr>
        <w:t xml:space="preserve">4.5. Nhóm Quy Tắc Phân Hệ Hiệp Hội CLB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Định danh hội viên: Mỗi hội viên được cấp Mã hội viên duy nhất (VD: M1983-001) dập nổi trên thẻ điện tử Classic Navy &amp; Gold.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Gia hạn hội phí thường niên: Trước 30 ngày hết hạn gửi thông báo; hội viên quét VietQR tự động gạch nợ và gia hạn thẻ 365 ngày.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Biểu quyết đại hội: Bỏ phiếu online 1 lần duy nhất; kết quả kiểm phiếu hiển thị thời gian thực.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Quay số may mắn Lucky Draw: Thuật toán ngẫu nhiên minh bạch loại trừ đại biểu đã trúng thưởng.</w:t>
      </w:r>
    </w:p>
    <w:p>
      <w:pPr>
        <w:pStyle w:val="Heading1"/>
        <w:spacing w:after="120" w:before="300"/>
      </w:pPr>
      <w:r>
        <w:rPr>
          <w:rFonts w:ascii="Times New Roman" w:cs="Times New Roman" w:eastAsia="Times New Roman" w:hAnsi="Times New Roman"/>
          <w:b/>
          <w:bCs/>
          <w:color w:val="003B95"/>
          <w:sz w:val="30"/>
          <w:szCs w:val="30"/>
        </w:rPr>
        <w:t xml:space="preserve">5. YÊU CẦU PHI CHỨC NĂNG CẤP DOANH NGHIỆP (ENTERPRISE NFR)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Hiệu năng: Chịu tải đồng thời 10,000 CCU, thời gian phản hồi API p95 &lt; 150ms, soát vé QR tại cổng an ninh &lt; 0.2s/người.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Bảo mật: Mã hóa dữ liệu nghỉ AES-256, truyền tải TLS 1.3, Rate limiting 100 req/min, Watermark bảo vệ danh thiếp.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Độ tin cậy: Cam kết SLA 99.98%, sao lưu tự động hàng ngày lúc 03:00 AM, RPO &lt; 2 giờ, RTO &lt; 30 phút.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Multi-Tenant: Phân vùng cô lập dữ liệu tuyệt đối giữa các công ty và hiệp hội ở tầng cơ sở dữ liệu.</w:t>
      </w:r>
    </w:p>
    <w:p>
      <w:pPr>
        <w:pStyle w:val="Heading1"/>
        <w:spacing w:after="120" w:before="300"/>
      </w:pPr>
      <w:r>
        <w:rPr>
          <w:rFonts w:ascii="Times New Roman" w:cs="Times New Roman" w:eastAsia="Times New Roman" w:hAnsi="Times New Roman"/>
          <w:b/>
          <w:bCs/>
          <w:color w:val="003B95"/>
          <w:sz w:val="30"/>
          <w:szCs w:val="30"/>
        </w:rPr>
        <w:t xml:space="preserve">6. KÝ DUYỆT THẨM ĐỊNH &amp; BÀN GIAO</w:t>
      </w:r>
    </w:p>
    <w:p>
      <w:pPr>
        <w:spacing w:after="10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Đại Diện Khách Hàng / Hiệp Hội</w:t>
            </w:r>
          </w:p>
        </w:tc>
        <w:tc>
          <w:tcPr>
            <w:tcW w:type="dxa" w:w="3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Trưởng Ban Giải Pháp Doanh Nghiệp</w:t>
            </w:r>
          </w:p>
        </w:tc>
        <w:tc>
          <w:tcPr>
            <w:tcW w:type="dxa" w:w="3100"/>
            <w:tcBorders>
              <w:top w:val="single" w:color="CBD5E1" w:sz="4"/>
              <w:left w:val="single" w:color="CBD5E1" w:sz="4"/>
              <w:bottom w:val="single" w:color="CBD5E1" w:sz="4"/>
              <w:right w:val="single" w:color="CBD5E1" w:sz="4"/>
            </w:tcBorders>
            <w:shd w:fill="003B95" w:val="clear"/>
          </w:tcPr>
          <w:p>
            <w:pPr>
              <w:spacing w:after="80" w:before="80"/>
              <w:jc w:val="center"/>
            </w:pPr>
            <w:r>
              <w:rPr>
                <w:rFonts w:ascii="Times New Roman" w:cs="Times New Roman" w:eastAsia="Times New Roman" w:hAnsi="Times New Roman"/>
                <w:b/>
                <w:bCs/>
                <w:color w:val="FFFFFF"/>
                <w:sz w:val="20"/>
                <w:szCs w:val="20"/>
              </w:rPr>
              <w:t xml:space="preserve">Kiến Trúc Sư Hệ Thống (SA)</w:t>
            </w:r>
          </w:p>
        </w:tc>
      </w:tr>
      <w:tr>
        <w:tc>
          <w:tcPr>
            <w:tcW w:type="dxa" w:w="3000"/>
            <w:tcBorders>
              <w:top w:val="single" w:color="CBD5E1" w:sz="4"/>
              <w:left w:val="single" w:color="CBD5E1" w:sz="4"/>
              <w:bottom w:val="single" w:color="CBD5E1" w:sz="4"/>
              <w:right w:val="single" w:color="CBD5E1" w:sz="4"/>
            </w:tcBorders>
            <w:shd w:fill="FFFFFF" w:val="clear"/>
          </w:tcPr>
          <w:p>
            <w:pPr>
              <w:spacing w:after="60" w:before="60"/>
              <w:jc w:val="center"/>
            </w:pPr>
            <w:r>
              <w:rPr>
                <w:rFonts w:ascii="Times New Roman" w:cs="Times New Roman" w:eastAsia="Times New Roman" w:hAnsi="Times New Roman"/>
                <w:color w:val="1E293B"/>
                <w:sz w:val="20"/>
                <w:szCs w:val="20"/>
              </w:rPr>
              <w:t xml:space="preserve">
(Ký và ghi rõ họ tên)</w:t>
            </w:r>
          </w:p>
        </w:tc>
        <w:tc>
          <w:tcPr>
            <w:tcW w:type="dxa" w:w="3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(Ký và ghi rõ họ tên)</w:t>
            </w:r>
          </w:p>
        </w:tc>
        <w:tc>
          <w:tcPr>
            <w:tcW w:type="dxa" w:w="3100"/>
            <w:tcBorders>
              <w:top w:val="single" w:color="CBD5E1" w:sz="4"/>
              <w:left w:val="single" w:color="CBD5E1" w:sz="4"/>
              <w:bottom w:val="single" w:color="CBD5E1" w:sz="4"/>
              <w:right w:val="single" w:color="CBD5E1" w:sz="4"/>
            </w:tcBorders>
            <w:shd w:fill="FFFFFF" w:val="clear"/>
          </w:tcPr>
          <w:p>
            <w:pPr>
              <w:spacing w:after="60" w:before="60"/>
              <w:jc w:val="left"/>
            </w:pPr>
            <w:r>
              <w:rPr>
                <w:rFonts w:ascii="Times New Roman" w:cs="Times New Roman" w:eastAsia="Times New Roman" w:hAnsi="Times New Roman"/>
                <w:color w:val="1E293B"/>
                <w:sz w:val="20"/>
                <w:szCs w:val="20"/>
              </w:rPr>
              <w:t xml:space="preserve">
(Ký và ghi rõ họ tên)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both"/>
    </w:pPr>
    <w:r>
      <w:rPr>
        <w:rFonts w:ascii="Times New Roman" w:cs="Times New Roman" w:eastAsia="Times New Roman" w:hAnsi="Times New Roman"/>
        <w:color w:val="64748B"/>
        <w:sz w:val="18"/>
        <w:szCs w:val="18"/>
      </w:rPr>
      <w:t xml:space="preserve">Tập Đoàn Công Nghệ VioConnect · Hệ Điều Hành Doanh Nghiệp ViOne Platform 5.0</w:t>
    </w:r>
    <w:r>
      <w:rPr>
        <w:rFonts w:ascii="Times New Roman" w:cs="Times New Roman" w:eastAsia="Times New Roman" w:hAnsi="Times New Roman"/>
        <w:color w:val="64748B"/>
        <w:sz w:val="18"/>
        <w:szCs w:val="18"/>
      </w:rPr>
      <w:t xml:space="preserve">		Trang </w:t>
    </w:r>
    <w:r>
      <w:rPr>
        <w:rFonts w:ascii="Times New Roman" w:cs="Times New Roman" w:eastAsia="Times New Roman" w:hAnsi="Times New Roman"/>
        <w:b/>
        <w:bCs/>
        <w:color w:val="003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6"/>
        <w:szCs w:val="16"/>
      </w:rPr>
      <w:t xml:space="preserve">TÀI LIỆU YÊU CẦU NGHIỆP VỤ DOANH NGHIỆP &amp; HIỆP HỘI (BRD MASTER) · VIONE &amp;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2026-10-04T11:15:49.261Z</dcterms:created>
  <dcterms:modified xsi:type="dcterms:W3CDTF">2026-10-04T11:15:49.265Z</dcterms:modified>
</cp:coreProperties>
</file>

<file path=docProps/custom.xml><?xml version="1.0" encoding="utf-8"?>
<Properties xmlns="http://schemas.openxmlformats.org/officeDocument/2006/custom-properties" xmlns:vt="http://schemas.openxmlformats.org/officeDocument/2006/docPropsVTypes"/>
</file>