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Times New Roman" w:cs="Times New Roman" w:eastAsia="Times New Roman" w:hAnsi="Times New Roman"/>
          <w:b/>
          <w:bCs/>
          <w:color w:val="003B95"/>
          <w:sz w:val="36"/>
          <w:szCs w:val="36"/>
        </w:rPr>
        <w:t xml:space="preserve">ĐẶC TẢ YÊU CẦU PHẦN MỀM (SRS)</w:t>
      </w:r>
    </w:p>
    <w:p>
      <w:pPr>
        <w:spacing w:after="150"/>
        <w:jc w:val="center"/>
      </w:pPr>
      <w:r>
        <w:rPr>
          <w:rFonts w:ascii="Times New Roman" w:cs="Times New Roman" w:eastAsia="Times New Roman" w:hAnsi="Times New Roman"/>
          <w:b/>
          <w:bCs/>
          <w:color w:val="9A6E3A"/>
          <w:sz w:val="24"/>
          <w:szCs w:val="24"/>
        </w:rPr>
        <w:t xml:space="preserve">HỆ ĐIỀU HÀNH DOANH NGHIỆP VIONE &amp; NỀN TẢNG HIỆP HỘI CLB DOANH NHÂN CEO 1983</w:t>
      </w:r>
    </w:p>
    <w:p>
      <w:pPr>
        <w:spacing w:after="400"/>
        <w:jc w:val="center"/>
      </w:pPr>
      <w:r>
        <w:rPr>
          <w:rFonts w:ascii="Times New Roman" w:cs="Times New Roman" w:eastAsia="Times New Roman" w:hAnsi="Times New Roman"/>
          <w:i/>
          <w:iCs/>
          <w:color w:val="64748B"/>
          <w:sz w:val="20"/>
          <w:szCs w:val="20"/>
        </w:rPr>
        <w:t xml:space="preserve">Chuẩn Quốc Tế IEEE 830-1998 · Phiên Bản Chi Tiết Toàn Diện 5.0 Master</w:t>
      </w:r>
    </w:p>
    <w:p>
      <w:pPr>
        <w:pStyle w:val="Heading1"/>
        <w:spacing w:after="120" w:before="280"/>
      </w:pPr>
      <w:r>
        <w:rPr>
          <w:rFonts w:ascii="Times New Roman" w:cs="Times New Roman" w:eastAsia="Times New Roman" w:hAnsi="Times New Roman"/>
          <w:b/>
          <w:bCs/>
          <w:color w:val="003B95"/>
          <w:sz w:val="28"/>
          <w:szCs w:val="28"/>
        </w:rPr>
        <w:t xml:space="preserve">1. GIỚI THIỆU CHUNG (INTRODUCTION)</w:t>
      </w:r>
    </w:p>
    <w:p>
      <w:pPr>
        <w:pStyle w:val="Heading2"/>
        <w:spacing w:after="80" w:before="180"/>
      </w:pPr>
      <w:r>
        <w:rPr>
          <w:rFonts w:ascii="Times New Roman" w:cs="Times New Roman" w:eastAsia="Times New Roman" w:hAnsi="Times New Roman"/>
          <w:b/>
          <w:bCs/>
          <w:color w:val="9A6E3A"/>
          <w:sz w:val="24"/>
          <w:szCs w:val="24"/>
        </w:rPr>
        <w:t xml:space="preserve">1.1. Mục Đích Của Tài Liệu</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Tài liệu Đặc tả Yêu cầu Phần mềm (SRS) này được xây dựng dựa trên tiêu chuẩn quốc tế IEEE 830-1998 bởi Ban Kiến trúc Hệ thống và Senior Business Analyst có 15 năm kinh nghiệm. Tài liệu đặc tả chi tiết và toàn diện 100% các yêu cầu chức năng, yêu cầu phi chức năng, hành trình người dùng và giao tiếp hệ thống, làm căn cứ nghiệm thu bàn giao chính thức giữa các bên.</w:t>
      </w:r>
    </w:p>
    <w:p>
      <w:pPr>
        <w:pStyle w:val="Heading2"/>
        <w:spacing w:after="80" w:before="180"/>
      </w:pPr>
      <w:r>
        <w:rPr>
          <w:rFonts w:ascii="Times New Roman" w:cs="Times New Roman" w:eastAsia="Times New Roman" w:hAnsi="Times New Roman"/>
          <w:b/>
          <w:bCs/>
          <w:color w:val="9A6E3A"/>
          <w:sz w:val="24"/>
          <w:szCs w:val="24"/>
        </w:rPr>
        <w:t xml:space="preserve">1.2. Phạm Vi Dự Án</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Phạm vi bao phủ toàn bộ 4 cấu phần: 1) Web CRM Quản trị Doanh nghiệp ViOne Platform (Đa công ty, Kanban việc, Bảng công GPS/FaceID, Phê duyệt chi 3 cấp, Sổ quỹ, Sàn B2B); 2) App Di Động Doanh Nhân ViOne Connect (Dark Obsidian &amp; Gold, Danh thiếp Titanium 3D NFC, Quét danh thiếp OCR, B2B Moments, Stories 24h, Nurture list); 3) Phân Hệ Hiệp Hội CLB Doanh Nhân CEO 1983 (Thẻ hội viên dập logo 1983, Đại hội biểu quyết trực tuyến, Soát vé QR check-in, Gia hạn hội phí VietQR); 4) Máy chủ Backend NestJS API (18 modules, PostgreSQL Prisma, MinIO S3, VietQR Napas 24/7).</w:t>
      </w:r>
    </w:p>
    <w:p>
      <w:pPr>
        <w:pStyle w:val="Heading1"/>
        <w:spacing w:after="120" w:before="280"/>
      </w:pPr>
      <w:r>
        <w:rPr>
          <w:rFonts w:ascii="Times New Roman" w:cs="Times New Roman" w:eastAsia="Times New Roman" w:hAnsi="Times New Roman"/>
          <w:b/>
          <w:bCs/>
          <w:color w:val="003B95"/>
          <w:sz w:val="28"/>
          <w:szCs w:val="28"/>
        </w:rPr>
        <w:t xml:space="preserve">2. MÔ TẢ TỔNG QUAN HỆ THỐNG (OVERALL DESCRIPTION)</w:t>
      </w:r>
    </w:p>
    <w:p>
      <w:pPr>
        <w:pStyle w:val="Heading2"/>
        <w:spacing w:after="80" w:before="180"/>
      </w:pPr>
      <w:r>
        <w:rPr>
          <w:rFonts w:ascii="Times New Roman" w:cs="Times New Roman" w:eastAsia="Times New Roman" w:hAnsi="Times New Roman"/>
          <w:b/>
          <w:bCs/>
          <w:color w:val="9A6E3A"/>
          <w:sz w:val="24"/>
          <w:szCs w:val="24"/>
        </w:rPr>
        <w:t xml:space="preserve">2.1. Danh Sách User Roles &amp; Ma Trận Phân Quyền RBAC 7x6</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Hệ thống quản lý 8 nhóm vai trò người dùng chính thức với Ma trận phân quyền RBAC 7 Nhóm Quyền x 6 Thao Tác tại Nền tảng: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22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Phân Hệ Chức Năng</w:t>
            </w:r>
          </w:p>
        </w:tc>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CEO</w:t>
            </w:r>
          </w:p>
        </w:tc>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COO</w:t>
            </w:r>
          </w:p>
        </w:tc>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CFO</w:t>
            </w:r>
          </w:p>
        </w:tc>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Sales</w:t>
            </w:r>
          </w:p>
        </w:tc>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Admin</w:t>
            </w:r>
          </w:p>
        </w:tc>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Staff</w:t>
            </w:r>
          </w:p>
        </w:tc>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Partner/Member</w:t>
            </w:r>
          </w:p>
        </w:tc>
      </w:tr>
      <w:tr>
        <w:tc>
          <w:tcPr>
            <w:tcW w:type="dxa" w:w="22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01. Quản Trị Hệ Thống &amp; Multi-Tenant</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w:t>
            </w:r>
          </w:p>
        </w:tc>
      </w:tr>
      <w:tr>
        <w:tc>
          <w:tcPr>
            <w:tcW w:type="dxa" w:w="22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02. Ma Trận Phân Quyền RBAC 7x6</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Duyệt</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Cấu hình</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w:t>
            </w:r>
          </w:p>
        </w:tc>
      </w:tr>
      <w:tr>
        <w:tc>
          <w:tcPr>
            <w:tcW w:type="dxa" w:w="22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03. Quản Trị Danh Bạ Hội Viên 360°</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Xem/Tạo</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 nội bộ</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 công khai</w:t>
            </w:r>
          </w:p>
        </w:tc>
      </w:tr>
      <w:tr>
        <w:tc>
          <w:tcPr>
            <w:tcW w:type="dxa" w:w="22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04. Sàn Cơ Hội Kinh Doanh B2B</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Xem/Duyệt</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Quản trị</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Tạo/Xem</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Tham gia thầu</w:t>
            </w:r>
          </w:p>
        </w:tc>
      </w:tr>
      <w:tr>
        <w:tc>
          <w:tcPr>
            <w:tcW w:type="dxa" w:w="22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05. Sàn Sản Phẩm &amp; Báo Giá Quotes</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Xem/Duyệt</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Quản trị</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Xem/Báo giá</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Mua sắm/Hỏi giá</w:t>
            </w:r>
          </w:p>
        </w:tc>
      </w:tr>
      <w:tr>
        <w:tc>
          <w:tcPr>
            <w:tcW w:type="dxa" w:w="22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06. Quản Lý Sự Kiện &amp; Soát Vé QR</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Điều phối</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Kiểm soát</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Phối hợp</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Cấu hình</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Check-in</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Đăng ký vé</w:t>
            </w:r>
          </w:p>
        </w:tc>
      </w:tr>
      <w:tr>
        <w:tc>
          <w:tcPr>
            <w:tcW w:type="dxa" w:w="22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07. Quy Trình Công Việc Kanban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Giám sát</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Tạo việc</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Cấu hình</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Thực hiện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w:t>
            </w:r>
          </w:p>
        </w:tc>
      </w:tr>
      <w:tr>
        <w:tc>
          <w:tcPr>
            <w:tcW w:type="dxa" w:w="22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08. Giám Sát Tải Nhân Sự Workload</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Giám sát</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 team</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Cấu hình</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Xem bản thân</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w:t>
            </w:r>
          </w:p>
        </w:tc>
      </w:tr>
      <w:tr>
        <w:tc>
          <w:tcPr>
            <w:tcW w:type="dxa" w:w="22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09. Chấm Công GPS &amp; AI FaceID</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Giám sát</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 team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Cấu hình</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Chấm công</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w:t>
            </w:r>
          </w:p>
        </w:tc>
      </w:tr>
      <w:tr>
        <w:tc>
          <w:tcPr>
            <w:tcW w:type="dxa" w:w="22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10. Phê Duyệt Chi Tiền 3 Cấp</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Duyệt cuối</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Thẩm tra</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Kiểm tra</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Lập đề xuất</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Cấu hình</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Lập đề xuất</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w:t>
            </w:r>
          </w:p>
        </w:tc>
      </w:tr>
      <w:tr>
        <w:tc>
          <w:tcPr>
            <w:tcW w:type="dxa" w:w="22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11. Sổ Quỹ Thu Chi &amp; Dòng Tiền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 doanh thu</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Quản trị</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w:t>
            </w:r>
          </w:p>
        </w:tc>
      </w:tr>
      <w:tr>
        <w:tc>
          <w:tcPr>
            <w:tcW w:type="dxa" w:w="22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12. Trí Tuệ Nhân Tạo AI Copilot</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Sử dụng</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Sử dụng</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Sử dụng</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Cấu hình</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Hạn chế</w:t>
            </w:r>
          </w:p>
        </w:tc>
        <w:tc>
          <w:tcPr>
            <w:tcW w:type="dxa" w:w="10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Hạn chế</w:t>
            </w:r>
          </w:p>
        </w:tc>
      </w:tr>
      <w:tr>
        <w:tc>
          <w:tcPr>
            <w:tcW w:type="dxa" w:w="22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13. Danh Thiếp Số 3D Titanium NFC</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Toàn quyền</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Sở hữu</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Sở hữu</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Sở hữu</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Cấp phát</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Sở hữu</w:t>
            </w:r>
          </w:p>
        </w:tc>
        <w:tc>
          <w:tcPr>
            <w:tcW w:type="dxa" w:w="10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Sở hữu</w:t>
            </w:r>
          </w:p>
        </w:tc>
      </w:tr>
    </w:tbl>
    <w:p>
      <w:pPr>
        <w:pStyle w:val="Heading1"/>
        <w:spacing w:after="120" w:before="280"/>
      </w:pPr>
      <w:r>
        <w:rPr>
          <w:rFonts w:ascii="Times New Roman" w:cs="Times New Roman" w:eastAsia="Times New Roman" w:hAnsi="Times New Roman"/>
          <w:b/>
          <w:bCs/>
          <w:color w:val="003B95"/>
          <w:sz w:val="28"/>
          <w:szCs w:val="28"/>
        </w:rPr>
        <w:t xml:space="preserve">3. YÊU CẦU CHỨC NĂNG CHI TIẾT (FUNCTIONAL REQUIREMENTS - MECE)</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Toàn bộ các phân hệ lớn được bóc tách theo nguyên tắc MECE thành các Epic, Feature và Sub-feature chi tiết kèm mã chức năng, Actor, Input, Xử lý logic, Output, Ngoại lệ và API Endpoint tương ứng:</w:t>
      </w:r>
    </w:p>
    <w:p>
      <w:pPr>
        <w:pStyle w:val="Heading2"/>
        <w:spacing w:after="80" w:before="180"/>
      </w:pPr>
      <w:r>
        <w:rPr>
          <w:rFonts w:ascii="Times New Roman" w:cs="Times New Roman" w:eastAsia="Times New Roman" w:hAnsi="Times New Roman"/>
          <w:b/>
          <w:bCs/>
          <w:color w:val="9A6E3A"/>
          <w:sz w:val="24"/>
          <w:szCs w:val="24"/>
        </w:rPr>
        <w:t xml:space="preserve">3.1. Bảng Đặc Tả Yêu Cầu Chức Năng 14 Modules Cốt Lõi</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Mã FR</w:t>
            </w:r>
          </w:p>
        </w:tc>
        <w:tc>
          <w:tcPr>
            <w:tcW w:type="dxa" w:w="16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Tên Chức Năng</w:t>
            </w:r>
          </w:p>
        </w:tc>
        <w:tc>
          <w:tcPr>
            <w:tcW w:type="dxa" w:w="11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Actor</w:t>
            </w:r>
          </w:p>
        </w:tc>
        <w:tc>
          <w:tcPr>
            <w:tcW w:type="dxa" w:w="26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Mô Tả Xử Lý Logic &amp; Quy Tắc</w:t>
            </w:r>
          </w:p>
        </w:tc>
        <w:tc>
          <w:tcPr>
            <w:tcW w:type="dxa" w:w="14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Xử Lý Ngoại Lệ</w:t>
            </w:r>
          </w:p>
        </w:tc>
        <w:tc>
          <w:tcPr>
            <w:tcW w:type="dxa" w:w="15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API Endpoint</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FR-01.01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Đăng nhập Đa nhận diện &amp; 2FA</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Tất cả Roles</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Đăng nhập bằng Email/Username/Mã số + Bcrypt pass + OTP 6 số</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Khóa 15p nếu sai 5 lần</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POST /auth/login</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FR-01.02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Đăng nhập Mạng xã hội OAuth</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Tất cả Roles</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Xác thực Google/Apple ID Token, tự liên kết tài khoản</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Token hết hạn báo lỗi</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/auth/oauth/google</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FR-01.03</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Ma trận Phân quyền RBAC 7x6</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Admin, CEO</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Cấu hình 7 nhóm quyền x 6 thao tác độc lập tại Nền tảng</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Chặn Admin tự hủy quyền</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PUT /platform/permissions</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FR-02.01</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Danh bạ Thành viên 360°</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Tất cả Roles</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Tìm kiếm đa tiêu chí, lọc ngành nghề, phân trang tối ưu</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Không có kết quả báo rỗng</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GET /members</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FR-02.02</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Drawer Hồ sơ 360° Chi tiết</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Lãnh đạo, HR</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Xem toàn diện thông tin, lịch sử đóng phí, sự kiện, deal</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Quyền truy cập hạn chế</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GET /members/:id/profile</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FR-03.01</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Danh thiếp 3D Titanium NFC</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Doanh nhân</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Thẻ 3D Titanium mạ vàng xoay 2 mặt, nạp chip NFC 1-chạm</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Chip hỏng nạp lại token</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GET /business-cards/me</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FR-03.02</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Xuất vCard (.vcf) Danh bạ</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Đối tác quét</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Sinh file vCard 3.0 lưu thẳng vào danh bạ điện thoại</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Lỗi tải file thử lại</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GET /public-card/:code/vcf</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FR-04.01</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Khoảnh khắc B2B Moments</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Doanh nhân</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Đăng bài viết, hình ảnh thành tựu hợp tác, thả tim, bình luận</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Ảnh &gt; 10MB tự động nén</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/connect-app/moment</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FR-04.02</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Dải Stories 24H &amp; Viewer</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Doanh nhân</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Đăng Story chạy tiến độ 5s/ảnh, tự động hủy sau 24h</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Hết 24h tự chuyển lưu trữ</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GET /connect-app/stories</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FR-04.03</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Nurture List Đối tác</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Doanh nhân</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Cảnh báo đối tác 30 ngày chưa tương tác, 3 nút tương tác 1-chạm</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Mất mạng lưu cache</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GET /network/nurture-list</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FR-04.04</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Đặt Lịch Hẹn Gặp 1-1</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Doanh nhân</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Hẹn Online Google Meet hoặc Offline Lounge VIP, đồng bộ lịch</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Trùng giờ báo bận</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POST /meetings</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FR-05.01</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Messenger B2B 4 Danh mục</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Tất cả Roles</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Phân luồng 4 tab: Tất cả, Khách B2B, Nội bộ, Hệ thống</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Mất mạng gửi lại</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GET /dm/threads</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FR-06.01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Sàn Sản Phẩm 6 Ngành Hàng</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Tất cả Roles</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Trưng bày showcase sản phẩm, liên kết báo giá, giá niêm yết</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Hết hàng ẩn hiển thị</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GET /products</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FR-06.02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Workspace Báo Giá Quotes</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Kinh doanh</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Xuất bản báo giá điện tử chiết khấu tự động, đính kèm PDF</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Chiết khấu vượt quyền chặn</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/marketplace/quotes</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FR-07.01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Sơ Đồ Ghế Cinema Map</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Admin, BTC</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Thiết lập ma trận ghế VIP, Vàng, Tiêu chuẩn, giữ chỗ 10 phút</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Ghế đã bán khóa chọn</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GET /events/:id/seats</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FR-07.02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Cổng Soát Vé QR Check-in</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An ninh, BTC</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Quét vé QR động xoay mã 30s, đối soát an ninh dưới 0.2s</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Vé dùng rồi báo chuông đỏ</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/events/checkin</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FR-08.01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Đại Hội Biểu Quyết Online</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Đại biểu CLB</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Bỏ phiếu online 1 lần duy nhất, nhảy số trực tiếp trên LED</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Đã bỏ phiếu khóa sửa</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POST /voting/ballots</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FR-08.02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Quay Số May Mắn Lucky Draw</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Ban Tổ Chức</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Thuật toán ngẫu nhiên minh bạch, loại trừ đại biểu đã trúng</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Trùng giải quay lại</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/voting/lucky-draw</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FR-09.01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Quy Trình Công Việc Kanban</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COO, PM, Staff</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Bảng Kanban kéo thả, kiểm tra checklist 100% trước khi Done</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Kéo sai luồng hoàn trả</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PATCH /workflow/tasks/:id</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FR-09.02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Giám Sát Tải Workload</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COO, CEO</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Bản đồ nhiệt giờ làm, cảnh báo đỏ khi nhân sự &gt; 45h/tuần</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Quá tải đề xuất điều phối</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GET /workload/matrix</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FR-10.01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Chấm Công GPS &amp; FaceID</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Nhân viên</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GPS bán kính ≤ 50m + AI FaceID phát hiện người thật ≥ 92%</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Cách &gt; 50m từ chối chấm</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POST /attendance/checkin</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FR-10.02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Khóa Công &amp; Phiếu Lương</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HR Manager</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Khóa sổ 23:59 ngày mùng 2, tự động tính lương và E-Payslip</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Khóa rồi chỉ Giám đốc mở</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/attendance/lock</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FR-11.01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Phê Duyệt Chi Tiền 3 Cấp</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Maker-Checker-Approve</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Người lập → Kế toán kiểm tra chứng từ → Lãnh đạo duyệt</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Quét trùng hóa đơn khóa</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POST /approvals/:id/approve</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FR-11.02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Thanh Toán VietQR Ngân Hàng</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Kế toán, Thủ quỹ</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Sinh mã QR Napas 24/7 chứa đúng số tiền, gạch nợ sau 1s</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Sai số tiền từ chối gạch</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GET /approvals/:id/qr</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FR-12.01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Thẻ Hội Viên CEO 1983</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Hội viên CLB</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Thẻ Classic Navy &amp; Gold dập nổi logo 1983, mã M1983-XXX</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Hết hạn khóa đặc quyền</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GET /association/card</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FR-12.02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Gia Hạn Hội Phí VietQR</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Hội viên CLB</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Quét VietQR nộp niên liễm, tự động gia hạn thẻ thêm 365 ngày</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Chuyển thiếu báo bổ sung</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/association/renew</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FR-13.01</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AI Copilot Điều Hành C-Level</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C-Level, Admin</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Đàm thoại tiếng Việt, tóm tắt sức khỏe doanh nghiệp, ra quyết định</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Không rõ hỏi lại người dùng</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POST /ai/chat</w:t>
            </w:r>
          </w:p>
        </w:tc>
      </w:tr>
      <w:tr>
        <w:tc>
          <w:tcPr>
            <w:tcW w:type="dxa" w:w="1000"/>
            <w:tcBorders>
              <w:top w:val="single" w:color="CBD5E1" w:sz="4"/>
              <w:left w:val="single" w:color="CBD5E1" w:sz="4"/>
              <w:bottom w:val="single" w:color="CBD5E1" w:sz="4"/>
              <w:right w:val="single" w:color="CBD5E1" w:sz="4"/>
            </w:tcBorders>
            <w:shd w:fill="F8FAFC" w:val="clear"/>
          </w:tcPr>
          <w:p>
            <w:pPr>
              <w:spacing w:after="50" w:before="50"/>
              <w:jc w:val="center"/>
            </w:pPr>
            <w:r>
              <w:rPr>
                <w:rFonts w:ascii="Times New Roman" w:cs="Times New Roman" w:eastAsia="Times New Roman" w:hAnsi="Times New Roman"/>
                <w:color w:val="1E293B"/>
                <w:sz w:val="18"/>
                <w:szCs w:val="18"/>
              </w:rPr>
              <w:t xml:space="preserve">FR-13.02</w:t>
            </w:r>
          </w:p>
        </w:tc>
        <w:tc>
          <w:tcPr>
            <w:tcW w:type="dxa" w:w="1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Quét Danh Thiếp OCR AI</w:t>
            </w:r>
          </w:p>
        </w:tc>
        <w:tc>
          <w:tcPr>
            <w:tcW w:type="dxa" w:w="11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Doanh nhân</w:t>
            </w:r>
          </w:p>
        </w:tc>
        <w:tc>
          <w:tcPr>
            <w:tcW w:type="dxa" w:w="26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Camera quét danh thiếp giấy, bóc tách tự động 7 trường thông tin</w:t>
            </w:r>
          </w:p>
        </w:tc>
        <w:tc>
          <w:tcPr>
            <w:tcW w:type="dxa" w:w="14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Ảnh mờ yêu cầu chụp lại</w:t>
            </w:r>
          </w:p>
        </w:tc>
        <w:tc>
          <w:tcPr>
            <w:tcW w:type="dxa" w:w="1500"/>
            <w:tcBorders>
              <w:top w:val="single" w:color="CBD5E1" w:sz="4"/>
              <w:left w:val="single" w:color="CBD5E1" w:sz="4"/>
              <w:bottom w:val="single" w:color="CBD5E1" w:sz="4"/>
              <w:right w:val="single" w:color="CBD5E1" w:sz="4"/>
            </w:tcBorders>
            <w:shd w:fill="F8FAFC" w:val="clear"/>
          </w:tcPr>
          <w:p>
            <w:pPr>
              <w:spacing w:after="50" w:before="50"/>
              <w:jc w:val="left"/>
            </w:pPr>
            <w:r>
              <w:rPr>
                <w:rFonts w:ascii="Times New Roman" w:cs="Times New Roman" w:eastAsia="Times New Roman" w:hAnsi="Times New Roman"/>
                <w:color w:val="1E293B"/>
                <w:sz w:val="18"/>
                <w:szCs w:val="18"/>
              </w:rPr>
              <w:t xml:space="preserve">POST /ai/card-ocr</w:t>
            </w:r>
          </w:p>
        </w:tc>
      </w:tr>
      <w:tr>
        <w:tc>
          <w:tcPr>
            <w:tcW w:type="dxa" w:w="1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FR-13.03</w:t>
            </w:r>
          </w:p>
        </w:tc>
        <w:tc>
          <w:tcPr>
            <w:tcW w:type="dxa" w:w="1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Nhật Ký Kiểm Toán AI Audit</w:t>
            </w:r>
          </w:p>
        </w:tc>
        <w:tc>
          <w:tcPr>
            <w:tcW w:type="dxa" w:w="1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Admin, CEO</w:t>
            </w:r>
          </w:p>
        </w:tc>
        <w:tc>
          <w:tcPr>
            <w:tcW w:type="dxa" w:w="26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Lưu vết kiểm toán bất biến cho 6 năng lực AI phục vụ thanh tra</w:t>
            </w:r>
          </w:p>
        </w:tc>
        <w:tc>
          <w:tcPr>
            <w:tcW w:type="dxa" w:w="14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Không thể xóa sửa log</w:t>
            </w:r>
          </w:p>
        </w:tc>
        <w:tc>
          <w:tcPr>
            <w:tcW w:type="dxa" w:w="15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GET /ai/audit-logs</w:t>
            </w:r>
          </w:p>
        </w:tc>
      </w:tr>
    </w:tbl>
    <w:p>
      <w:pPr>
        <w:pStyle w:val="Heading1"/>
        <w:spacing w:after="120" w:before="280"/>
      </w:pPr>
      <w:r>
        <w:rPr>
          <w:rFonts w:ascii="Times New Roman" w:cs="Times New Roman" w:eastAsia="Times New Roman" w:hAnsi="Times New Roman"/>
          <w:b/>
          <w:bCs/>
          <w:color w:val="003B95"/>
          <w:sz w:val="28"/>
          <w:szCs w:val="28"/>
        </w:rPr>
        <w:t xml:space="preserve">4. YÊU CẦU PHI CHỨC NĂNG (NON-FUNCTIONAL REQUIREMENTS)</w:t>
      </w:r>
    </w:p>
    <w:p>
      <w:pPr>
        <w:pStyle w:val="Heading2"/>
        <w:spacing w:after="80" w:before="180"/>
      </w:pPr>
      <w:r>
        <w:rPr>
          <w:rFonts w:ascii="Times New Roman" w:cs="Times New Roman" w:eastAsia="Times New Roman" w:hAnsi="Times New Roman"/>
          <w:b/>
          <w:bCs/>
          <w:color w:val="9A6E3A"/>
          <w:sz w:val="24"/>
          <w:szCs w:val="24"/>
        </w:rPr>
        <w:t xml:space="preserve">4.1. Hiệu Năng &amp; Khả Năng Chịu Tải</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 Chịu tải đồng thời tối thiểu 10,000 người dùng trực tuyến (CCU).
• Thời gian phản hồi API trung bình dưới 150ms đối với 95% tác vụ (p95 &lt; 150ms).
• Tốc độ quét vé QR Code check-in tại cổng sự kiện dưới 0.2 giây/người.
• Tải trang Web SPA lần đầu dưới 1.5 giây, chuyển trang dưới 0.3 giây.</w:t>
      </w:r>
    </w:p>
    <w:p>
      <w:pPr>
        <w:pStyle w:val="Heading2"/>
        <w:spacing w:after="80" w:before="180"/>
      </w:pPr>
      <w:r>
        <w:rPr>
          <w:rFonts w:ascii="Times New Roman" w:cs="Times New Roman" w:eastAsia="Times New Roman" w:hAnsi="Times New Roman"/>
          <w:b/>
          <w:bCs/>
          <w:color w:val="9A6E3A"/>
          <w:sz w:val="24"/>
          <w:szCs w:val="24"/>
        </w:rPr>
        <w:t xml:space="preserve">4.2. An Toàn &amp; Bảo Mật Dữ Liệu</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 Mã hóa dữ liệu nghỉ (Data at Rest) bằng AES-256; truyền tải dữ liệu (Data in Transit) bằng TLS 1.3.
• Xác thực phiên làm việc qua JWT Access/Refresh Token trong Cookie HttpOnly Secure chống tấn công XSS.
• Phòng thủ chống DDoS bằng Rate-limiting 100 requests/phút/IP; chống SQL Injection và CSRF 100% qua Prisma ORM.
• Tự động đóng dấu bản quyền Watermark chống chụp ảnh màn hình lộ dữ liệu mật.</w:t>
      </w:r>
    </w:p>
    <w:p>
      <w:pPr>
        <w:pStyle w:val="Heading2"/>
        <w:spacing w:after="80" w:before="180"/>
      </w:pPr>
      <w:r>
        <w:rPr>
          <w:rFonts w:ascii="Times New Roman" w:cs="Times New Roman" w:eastAsia="Times New Roman" w:hAnsi="Times New Roman"/>
          <w:b/>
          <w:bCs/>
          <w:color w:val="9A6E3A"/>
          <w:sz w:val="24"/>
          <w:szCs w:val="24"/>
        </w:rPr>
        <w:t xml:space="preserve">4.3. Tính Khả Dụng &amp; Độ Tin Cậy</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 Thiết kế Mobile-First tối ưu vùng chạm ngón tay cái (One-hand thumb zone); hỗ trợ song ngữ VI/EN.
• Cam kết độ sẵn sàng SLA đạt tối thiểu 99.98%.
• Sao lưu tự động toàn phần vào 03:00 AM hàng ngày và vi sai mỗi 2 giờ; cam kết RPO &lt; 2 giờ, RTO &lt; 30 phút.</w:t>
      </w:r>
    </w:p>
    <w:p>
      <w:pPr>
        <w:pStyle w:val="Heading1"/>
        <w:spacing w:after="120" w:before="280"/>
      </w:pPr>
      <w:r>
        <w:rPr>
          <w:rFonts w:ascii="Times New Roman" w:cs="Times New Roman" w:eastAsia="Times New Roman" w:hAnsi="Times New Roman"/>
          <w:b/>
          <w:bCs/>
          <w:color w:val="003B95"/>
          <w:sz w:val="28"/>
          <w:szCs w:val="28"/>
        </w:rPr>
        <w:t xml:space="preserve">5. YÊU CẦU GIAO TIẾP HỆ THỐNG &amp; TÍCH HỢP (SYSTEM INTERFACES)</w:t>
      </w:r>
    </w:p>
    <w:p>
      <w:pPr>
        <w:spacing w:after="80" w:before="80" w:line="276"/>
        <w:jc w:val="left"/>
      </w:pPr>
      <w:r>
        <w:rPr>
          <w:rFonts w:ascii="Times New Roman" w:cs="Times New Roman" w:eastAsia="Times New Roman" w:hAnsi="Times New Roman"/>
          <w:b w:val="false"/>
          <w:bCs w:val="false"/>
          <w:i w:val="false"/>
          <w:iCs w:val="false"/>
          <w:color w:val="1E293B"/>
          <w:sz w:val="22"/>
          <w:szCs w:val="22"/>
        </w:rPr>
        <w:t xml:space="preserve">1. Cổng thanh toán chuyển khoản QR ngân hàng: Tích hợp chuẩn VietQR Napas 24/7 gạch nợ tức thời qua Open Banking API.
2. Dịch vụ Thư điện tử: Tích hợp SendGrid / SMTP Enterprise gửi email thông báo, mật khẩu, và báo giá PDF.
3. Dịch vụ Tin nhắn: Tích hợp SMS Brandname xác thực OTP các lệnh chi ngân sách lớn (&gt; 20 triệu VNĐ).
4. Lưu trữ đám mây: Tích hợp MinIO S3 Object Storage lưu trữ ảnh thẻ, hóa đơn, văn kiện có mã hóa.
5. Đăng nhập một chạm: Tích hợp Google Identity Services và Apple Sign-In OAuth 2.0.
6. Thông báo đẩy: Tích hợp Expo Push Service và Firebase Cloud Messaging (FCM).
7. Động cơ Trí tuệ nhân tạo: Tích hợp Google Gemini Pro API và OCR Tesseract Engine.</w:t>
      </w:r>
    </w:p>
    <w:p>
      <w:pPr>
        <w:pStyle w:val="Heading1"/>
        <w:spacing w:after="120" w:before="280"/>
      </w:pPr>
      <w:r>
        <w:rPr>
          <w:rFonts w:ascii="Times New Roman" w:cs="Times New Roman" w:eastAsia="Times New Roman" w:hAnsi="Times New Roman"/>
          <w:b/>
          <w:bCs/>
          <w:color w:val="003B95"/>
          <w:sz w:val="28"/>
          <w:szCs w:val="28"/>
        </w:rPr>
        <w:t xml:space="preserve">6. CHỮ KÝ PHÊ DUYỆT KỸ THUẬT &amp; NGHIỆM THU</w:t>
      </w:r>
    </w:p>
    <w:p>
      <w:pPr>
        <w:spacing w:after="100"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Đại Diện Ban Giám Đốc / Chủ Quản</w:t>
            </w:r>
          </w:p>
        </w:tc>
        <w:tc>
          <w:tcPr>
            <w:tcW w:type="dxa" w:w="31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Trưởng Ban Đảm Bảo Chất Lượng (QA)</w:t>
            </w:r>
          </w:p>
        </w:tc>
        <w:tc>
          <w:tcPr>
            <w:tcW w:type="dxa" w:w="3100"/>
            <w:tcBorders>
              <w:top w:val="single" w:color="CBD5E1" w:sz="4"/>
              <w:left w:val="single" w:color="CBD5E1" w:sz="4"/>
              <w:bottom w:val="single" w:color="CBD5E1" w:sz="4"/>
              <w:right w:val="single" w:color="CBD5E1" w:sz="4"/>
            </w:tcBorders>
            <w:shd w:fill="003B95" w:val="clear"/>
          </w:tcPr>
          <w:p>
            <w:pPr>
              <w:spacing w:after="60" w:before="60"/>
              <w:jc w:val="center"/>
            </w:pPr>
            <w:r>
              <w:rPr>
                <w:rFonts w:ascii="Times New Roman" w:cs="Times New Roman" w:eastAsia="Times New Roman" w:hAnsi="Times New Roman"/>
                <w:b/>
                <w:bCs/>
                <w:color w:val="FFFFFF"/>
                <w:sz w:val="18"/>
                <w:szCs w:val="18"/>
              </w:rPr>
              <w:t xml:space="preserve">Kiến Trúc Sư Hệ Thống (SA)</w:t>
            </w:r>
          </w:p>
        </w:tc>
      </w:tr>
      <w:tr>
        <w:tc>
          <w:tcPr>
            <w:tcW w:type="dxa" w:w="3000"/>
            <w:tcBorders>
              <w:top w:val="single" w:color="CBD5E1" w:sz="4"/>
              <w:left w:val="single" w:color="CBD5E1" w:sz="4"/>
              <w:bottom w:val="single" w:color="CBD5E1" w:sz="4"/>
              <w:right w:val="single" w:color="CBD5E1" w:sz="4"/>
            </w:tcBorders>
            <w:shd w:fill="FFFFFF" w:val="clear"/>
          </w:tcPr>
          <w:p>
            <w:pPr>
              <w:spacing w:after="50" w:before="50"/>
              <w:jc w:val="center"/>
            </w:pPr>
            <w:r>
              <w:rPr>
                <w:rFonts w:ascii="Times New Roman" w:cs="Times New Roman" w:eastAsia="Times New Roman" w:hAnsi="Times New Roman"/>
                <w:color w:val="1E293B"/>
                <w:sz w:val="18"/>
                <w:szCs w:val="18"/>
              </w:rPr>
              <w:t xml:space="preserve">
(Ký và ghi rõ họ tên)</w:t>
            </w:r>
          </w:p>
        </w:tc>
        <w:tc>
          <w:tcPr>
            <w:tcW w:type="dxa" w:w="3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
(Ký và ghi rõ họ tên)</w:t>
            </w:r>
          </w:p>
        </w:tc>
        <w:tc>
          <w:tcPr>
            <w:tcW w:type="dxa" w:w="3100"/>
            <w:tcBorders>
              <w:top w:val="single" w:color="CBD5E1" w:sz="4"/>
              <w:left w:val="single" w:color="CBD5E1" w:sz="4"/>
              <w:bottom w:val="single" w:color="CBD5E1" w:sz="4"/>
              <w:right w:val="single" w:color="CBD5E1" w:sz="4"/>
            </w:tcBorders>
            <w:shd w:fill="FFFFFF" w:val="clear"/>
          </w:tcPr>
          <w:p>
            <w:pPr>
              <w:spacing w:after="50" w:before="50"/>
              <w:jc w:val="left"/>
            </w:pPr>
            <w:r>
              <w:rPr>
                <w:rFonts w:ascii="Times New Roman" w:cs="Times New Roman" w:eastAsia="Times New Roman" w:hAnsi="Times New Roman"/>
                <w:color w:val="1E293B"/>
                <w:sz w:val="18"/>
                <w:szCs w:val="18"/>
              </w:rPr>
              <w:t xml:space="preserve">
(Ký và ghi rõ họ tên)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both"/>
    </w:pPr>
    <w:r>
      <w:rPr>
        <w:rFonts w:ascii="Times New Roman" w:cs="Times New Roman" w:eastAsia="Times New Roman" w:hAnsi="Times New Roman"/>
        <w:color w:val="64748B"/>
        <w:sz w:val="18"/>
        <w:szCs w:val="18"/>
      </w:rPr>
      <w:t xml:space="preserve">Hệ Sinh Thái ViOne &amp; Hiệp Hội CLB Doanh Nhân CEO 1983 · Tiêu Chuẩn IEEE 830</w:t>
    </w:r>
    <w:r>
      <w:rPr>
        <w:rFonts w:ascii="Times New Roman" w:cs="Times New Roman" w:eastAsia="Times New Roman" w:hAnsi="Times New Roman"/>
        <w:color w:val="64748B"/>
        <w:sz w:val="18"/>
        <w:szCs w:val="18"/>
      </w:rPr>
      <w:t xml:space="preserve">		Trang </w:t>
    </w:r>
    <w:r>
      <w:rPr>
        <w:rFonts w:ascii="Times New Roman" w:cs="Times New Roman" w:eastAsia="Times New Roman" w:hAnsi="Times New Roman"/>
        <w:b/>
        <w:bCs/>
        <w:color w:val="003B9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i/>
        <w:iCs/>
        <w:color w:val="64748B"/>
        <w:sz w:val="16"/>
        <w:szCs w:val="16"/>
      </w:rPr>
      <w:t xml:space="preserve">ĐẶC TẢ YÊU CẦU PHẦN MỀM (SRS IEEE 830) · VIONE &amp; CEO 1983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2026-10-04T11:17:40.322Z</dcterms:created>
  <dcterms:modified xsi:type="dcterms:W3CDTF">2026-10-04T11:17:40.324Z</dcterms:modified>
</cp:coreProperties>
</file>

<file path=docProps/custom.xml><?xml version="1.0" encoding="utf-8"?>
<Properties xmlns="http://schemas.openxmlformats.org/officeDocument/2006/custom-properties" xmlns:vt="http://schemas.openxmlformats.org/officeDocument/2006/docPropsVTypes"/>
</file>