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ptos" w:hAnsi="Aptos"/>
          <w:b/>
          <w:color w:val="0066CC"/>
          <w:sz w:val="18"/>
        </w:rPr>
        <w:t>ACTIVIDAD EVALUADA   ·   PROTOTIPO FERRE</w:t>
      </w:r>
    </w:p>
    <w:p>
      <w:pPr>
        <w:pStyle w:val="Title"/>
      </w:pPr>
      <w:r>
        <w:t>Decisiones de experiencia de usuario del prototipo Ferre</w:t>
      </w:r>
    </w:p>
    <w:p>
      <w:pPr>
        <w:spacing w:after="280"/>
      </w:pPr>
      <w:r>
        <w:rPr>
          <w:rFonts w:ascii="Aptos" w:hAnsi="Aptos"/>
          <w:color w:val="6E6E73"/>
          <w:sz w:val="24"/>
        </w:rPr>
        <w:t>Explicación de dos decisiones aplicadas al flujo de compra</w:t>
      </w:r>
    </w:p>
    <w:p>
      <w:pPr>
        <w:pStyle w:val="BodyText"/>
      </w:pPr>
      <w:r>
        <w:t>El prototipo permite completar una tarea de principio a fin: iniciar sesión, encontrar un producto, revisar sus opciones, agregarlo al carrito y confirmar la entrega. Las dos decisiones descritas a continuación reducen el esfuerzo necesario para avanzar y mantienen visibles los datos que afectan la compra.</w:t>
      </w:r>
    </w:p>
    <w:p>
      <w:pPr>
        <w:pStyle w:val="Heading1"/>
      </w:pPr>
      <w:r>
        <w:t>Decisión 1 Reducir opciones para facilitar la elección</w:t>
      </w:r>
    </w:p>
    <w:p>
      <w:pPr>
        <w:pStyle w:val="BodyText"/>
      </w:pPr>
      <w:r>
        <w:t>La pantalla principal presenta tres categorías amplias y una acción principal para abrir el catálogo. En el catálogo, la búsqueda se combina con cuatro filtros breves: Todos, Herramientas, Materiales y Seguridad. Cada tarjeta conserva solamente el nombre, una descripción corta, el precio y el botón Comprar.</w:t>
      </w:r>
    </w:p>
    <w:p>
      <w:pPr>
        <w:pStyle w:val="BodyText"/>
      </w:pPr>
      <w:r>
        <w:t>Esta estructura aplica la ley de Hick. El tiempo para decidir aumenta cuando una interfaz presenta demasiadas alternativas al mismo tiempo. Agrupar los productos y mostrar información progresivamente evita que la persona tenga que comparar todo el inventario desde el inicio.</w:t>
      </w:r>
    </w:p>
    <w:p>
      <w:pPr>
        <w:pStyle w:val="BodyText"/>
      </w:pPr>
      <w:r>
        <w:t>El resultado esperado es una exploración más rápida. La persona puede reconocer una categoría, reducir los resultados y abrir un producto sin memorizar rutas ni revisar menús extensos.</w:t>
      </w:r>
    </w:p>
    <w:p>
      <w:pPr>
        <w:pStyle w:val="Heading1"/>
      </w:pPr>
      <w:r>
        <w:t>Decisión 2 Mantener visible y alcanzable la acción de compra</w:t>
      </w:r>
    </w:p>
    <w:p>
      <w:pPr>
        <w:pStyle w:val="BodyText"/>
      </w:pPr>
      <w:r>
        <w:t>El botón principal utiliza el mismo azul en todas las pantallas y mantiene un área de interacción de al menos 44 píxeles. En la vista del producto, el precio, la presentación y la cantidad aparecen cerca del botón Agregar al carrito. Una barra fija conserva esa acción al desplazarse, y el carrito utiliza un ícono convencional acompañado por un contador.</w:t>
      </w:r>
    </w:p>
    <w:p>
      <w:pPr>
        <w:pStyle w:val="BodyText"/>
      </w:pPr>
      <w:r>
        <w:t>La decisión se apoya en la ley de Fitts y en los principios de Jakob y reconocimiento. Los objetivos grandes y cercanos se seleccionan con menos esfuerzo. Las convenciones conocidas, como el carrito y los controles de cantidad, permiten actuar a partir de lo que la persona ya reconoce en otras tiendas.</w:t>
      </w:r>
    </w:p>
    <w:p>
      <w:pPr>
        <w:pStyle w:val="BodyText"/>
      </w:pPr>
      <w:r>
        <w:t>El resultado esperado es que la acción principal se encuentre con rapidez y que cada cambio produzca retroalimentación visible. El contador del carrito, el mensaje después de agregar un producto y la confirmación final indican que el sistema recibió la acción.</w:t>
      </w:r>
    </w:p>
    <w:p>
      <w:pPr>
        <w:pStyle w:val="Heading1"/>
      </w:pPr>
      <w:r>
        <w:t>Estados incluidos</w:t>
      </w:r>
    </w:p>
    <w:p>
      <w:pPr>
        <w:pStyle w:val="BodyText"/>
      </w:pPr>
      <w:r>
        <w:t>El prototipo también muestra estados normal, hover, activo, enfoque de teclado, error, vacío y confirmación. Estos estados permiten probar el flujo completo y explican qué ocurrió sin sacar a la persona de la tarea.</w:t>
      </w:r>
    </w:p>
    <w:sectPr w:rsidR="00FC693F" w:rsidRPr="0006063C" w:rsidSect="00034616"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ptos" w:hAnsi="Aptos"/>
      <w:color w:val="1D1D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60" w:line="276" w:lineRule="auto"/>
    </w:pPr>
    <w:rPr>
      <w:rFonts w:ascii="Aptos" w:hAnsi="Aptos"/>
      <w:color w:val="1D1D1F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