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11F3" w14:textId="0995034F" w:rsidR="00A663C9" w:rsidRPr="00BD6EA8" w:rsidRDefault="00A663C9" w:rsidP="00BD6EA8">
      <w:pPr>
        <w:pStyle w:val="Ttulo"/>
        <w:rPr>
          <w:rFonts w:ascii="Arial Black" w:hAnsi="Arial Black"/>
        </w:rPr>
      </w:pPr>
      <w:r>
        <w:rPr>
          <w:rFonts w:ascii="Arial Black" w:hAnsi="Arial Black"/>
        </w:rPr>
        <w:t>Comprensión Guías Clínicas</w:t>
      </w:r>
    </w:p>
    <w:p w14:paraId="3649F895" w14:textId="77777777" w:rsidR="00BA0762" w:rsidRDefault="00BA0762" w:rsidP="00A663C9">
      <w:pPr>
        <w:rPr>
          <w:b/>
          <w:bCs/>
          <w:sz w:val="24"/>
          <w:szCs w:val="24"/>
          <w:u w:val="single"/>
        </w:rPr>
      </w:pPr>
    </w:p>
    <w:p w14:paraId="0F6DB8BB" w14:textId="0A9FFA17" w:rsidR="00A663C9" w:rsidRPr="00080A1C" w:rsidRDefault="00A663C9" w:rsidP="00A663C9">
      <w:pPr>
        <w:rPr>
          <w:b/>
          <w:bCs/>
          <w:sz w:val="24"/>
          <w:szCs w:val="24"/>
          <w:u w:val="single"/>
        </w:rPr>
      </w:pPr>
      <w:r w:rsidRPr="00080A1C">
        <w:rPr>
          <w:b/>
          <w:bCs/>
          <w:sz w:val="24"/>
          <w:szCs w:val="24"/>
          <w:u w:val="single"/>
        </w:rPr>
        <w:t>GuiaGeSIDAPlanNacionalSobreElSidaRespectoAlTratamientoAntirretroviralEnAdultosInfectadosPorElVirusDeLaInmunodeficienciaHumanaActualizacionEnero2022</w:t>
      </w:r>
      <w:r w:rsidRPr="00080A1C">
        <w:rPr>
          <w:b/>
          <w:bCs/>
          <w:sz w:val="24"/>
          <w:szCs w:val="24"/>
          <w:u w:val="single"/>
        </w:rPr>
        <w:t>.</w:t>
      </w:r>
    </w:p>
    <w:p w14:paraId="1ED9F046" w14:textId="54D6C06E" w:rsidR="00BA0762" w:rsidRPr="00BA0762" w:rsidRDefault="00BA0762" w:rsidP="00BA0762">
      <w:r w:rsidRPr="00BA0762">
        <w:t>Es la guía clínica de referencia en España que detalla el manejo terapéutico de la infección.</w:t>
      </w:r>
    </w:p>
    <w:p w14:paraId="29E37E94" w14:textId="77777777" w:rsidR="00BA0762" w:rsidRPr="00BA0762" w:rsidRDefault="00BA0762" w:rsidP="00BA0762">
      <w:pPr>
        <w:rPr>
          <w:b/>
          <w:bCs/>
        </w:rPr>
      </w:pPr>
      <w:r w:rsidRPr="00BA0762">
        <w:rPr>
          <w:b/>
          <w:bCs/>
        </w:rPr>
        <w:t>1. Evaluación Inicial</w:t>
      </w:r>
    </w:p>
    <w:p w14:paraId="177BC2BE" w14:textId="77777777" w:rsidR="00BA0762" w:rsidRPr="00BA0762" w:rsidRDefault="00BA0762" w:rsidP="00BA0762">
      <w:r w:rsidRPr="00BA0762">
        <w:t>Antes de iniciar cualquier tratamiento, la evaluación clínica debe apoyarse en determinaciones analíticas precisas:</w:t>
      </w:r>
    </w:p>
    <w:p w14:paraId="01EAB7BD" w14:textId="77777777" w:rsidR="00BA0762" w:rsidRPr="00BA0762" w:rsidRDefault="00BA0762" w:rsidP="00BA0762">
      <w:pPr>
        <w:numPr>
          <w:ilvl w:val="0"/>
          <w:numId w:val="31"/>
        </w:numPr>
      </w:pPr>
      <w:r w:rsidRPr="00BA0762">
        <w:t>Se debe medir la cifra absoluta y el porcentaje de linfocitos CD4+, así como la Carga Viral Plasmática (CVP).</w:t>
      </w:r>
    </w:p>
    <w:p w14:paraId="2497706E" w14:textId="77777777" w:rsidR="00BA0762" w:rsidRPr="00BA0762" w:rsidRDefault="00BA0762" w:rsidP="00BA0762">
      <w:pPr>
        <w:numPr>
          <w:ilvl w:val="0"/>
          <w:numId w:val="31"/>
        </w:numPr>
      </w:pPr>
      <w:r w:rsidRPr="00BA0762">
        <w:t>Es prioritaria la realización de un estudio genotípico de resistencias en todos los pacientes antes de iniciar el TAR.</w:t>
      </w:r>
    </w:p>
    <w:p w14:paraId="60C0EA3A" w14:textId="77777777" w:rsidR="00BA0762" w:rsidRPr="00BA0762" w:rsidRDefault="00BA0762" w:rsidP="00BA0762">
      <w:pPr>
        <w:numPr>
          <w:ilvl w:val="0"/>
          <w:numId w:val="31"/>
        </w:numPr>
      </w:pPr>
      <w:r w:rsidRPr="00BA0762">
        <w:t>Es obligatorio determinar el alelo HLA-B*5701 antes de prescribir el fármaco Abacavir (ABC); si es positivo, su uso está totalmente contraindicado por alto riesgo de reacción de hipersensibilidad.</w:t>
      </w:r>
    </w:p>
    <w:p w14:paraId="63E6A1BD" w14:textId="77777777" w:rsidR="00BA0762" w:rsidRPr="00BA0762" w:rsidRDefault="00BA0762" w:rsidP="00BA0762">
      <w:pPr>
        <w:rPr>
          <w:b/>
          <w:bCs/>
        </w:rPr>
      </w:pPr>
      <w:r w:rsidRPr="00BA0762">
        <w:rPr>
          <w:b/>
          <w:bCs/>
        </w:rPr>
        <w:t>2. Cuándo y con qué Iniciar el Tratamiento (TAR)</w:t>
      </w:r>
    </w:p>
    <w:p w14:paraId="21D7B45E" w14:textId="77777777" w:rsidR="00BA0762" w:rsidRPr="00BA0762" w:rsidRDefault="00BA0762" w:rsidP="00BA0762">
      <w:pPr>
        <w:numPr>
          <w:ilvl w:val="0"/>
          <w:numId w:val="32"/>
        </w:numPr>
      </w:pPr>
      <w:proofErr w:type="gramStart"/>
      <w:r w:rsidRPr="00BA0762">
        <w:rPr>
          <w:b/>
          <w:bCs/>
        </w:rPr>
        <w:t>Cuándo</w:t>
      </w:r>
      <w:proofErr w:type="gramEnd"/>
      <w:r w:rsidRPr="00BA0762">
        <w:rPr>
          <w:b/>
          <w:bCs/>
        </w:rPr>
        <w:t>:</w:t>
      </w:r>
      <w:r w:rsidRPr="00BA0762">
        <w:t xml:space="preserve"> Se recomienda iniciar el TAR en todos los pacientes diagnosticados de VIH (independientemente del nivel de CD4) tan pronto como sea posible, idealmente en los primeros 14 días tras el diagnóstico.</w:t>
      </w:r>
    </w:p>
    <w:p w14:paraId="6B2F326B" w14:textId="77777777" w:rsidR="00BA0762" w:rsidRPr="00BA0762" w:rsidRDefault="00BA0762" w:rsidP="00BA0762">
      <w:pPr>
        <w:numPr>
          <w:ilvl w:val="0"/>
          <w:numId w:val="32"/>
        </w:numPr>
      </w:pPr>
      <w:r w:rsidRPr="00BA0762">
        <w:rPr>
          <w:b/>
          <w:bCs/>
        </w:rPr>
        <w:t>Pautas preferentes:</w:t>
      </w:r>
      <w:r w:rsidRPr="00BA0762">
        <w:t xml:space="preserve"> El tratamiento inicial consiste en una combinación de dos o tres fármacos antirretrovirales (FAR).</w:t>
      </w:r>
    </w:p>
    <w:p w14:paraId="0CAE1C86" w14:textId="77777777" w:rsidR="00BA0762" w:rsidRPr="00BA0762" w:rsidRDefault="00BA0762" w:rsidP="00BA0762">
      <w:pPr>
        <w:numPr>
          <w:ilvl w:val="1"/>
          <w:numId w:val="32"/>
        </w:numPr>
      </w:pPr>
      <w:r w:rsidRPr="00BA0762">
        <w:t>Las pautas triples preferentes combinan dos inhibidores de la transcriptasa inversa análogos de nucleósidos/nucleótidos (ITIAN) con un inhibidor de la integrasa (INI): BIC/FTC/TAF, DTG/ABC/3TC, o DTG+FTC/TAF.</w:t>
      </w:r>
    </w:p>
    <w:p w14:paraId="0E88F8A8" w14:textId="77777777" w:rsidR="00BA0762" w:rsidRPr="00BA0762" w:rsidRDefault="00BA0762" w:rsidP="00BA0762">
      <w:pPr>
        <w:numPr>
          <w:ilvl w:val="1"/>
          <w:numId w:val="32"/>
        </w:numPr>
      </w:pPr>
      <w:r w:rsidRPr="00BA0762">
        <w:t xml:space="preserve">Como pauta doble preferente se acepta la </w:t>
      </w:r>
      <w:proofErr w:type="spellStart"/>
      <w:r w:rsidRPr="00BA0762">
        <w:t>biterapia</w:t>
      </w:r>
      <w:proofErr w:type="spellEnd"/>
      <w:r w:rsidRPr="00BA0762">
        <w:t xml:space="preserve"> DTG+3TC (siempre que se cumplan ciertos requisitos inmunológicos y virológicos).</w:t>
      </w:r>
    </w:p>
    <w:p w14:paraId="37B7EC72" w14:textId="77777777" w:rsidR="00BA0762" w:rsidRPr="00BA0762" w:rsidRDefault="00BA0762" w:rsidP="00BA0762">
      <w:pPr>
        <w:rPr>
          <w:b/>
          <w:bCs/>
        </w:rPr>
      </w:pPr>
      <w:r w:rsidRPr="00BA0762">
        <w:rPr>
          <w:b/>
          <w:bCs/>
        </w:rPr>
        <w:t>3. Cambio de Tratamiento con Carga Viral Suprimida</w:t>
      </w:r>
    </w:p>
    <w:p w14:paraId="25F699B9" w14:textId="77777777" w:rsidR="00BA0762" w:rsidRPr="00BA0762" w:rsidRDefault="00BA0762" w:rsidP="00BA0762">
      <w:r w:rsidRPr="00BA0762">
        <w:t>Cambiar un tratamiento que está funcionando (CVP indetectable) es una práctica habitual en la clínica:</w:t>
      </w:r>
    </w:p>
    <w:p w14:paraId="00740C8D" w14:textId="77777777" w:rsidR="00BA0762" w:rsidRPr="00BA0762" w:rsidRDefault="00BA0762" w:rsidP="00BA0762">
      <w:pPr>
        <w:numPr>
          <w:ilvl w:val="0"/>
          <w:numId w:val="33"/>
        </w:numPr>
      </w:pPr>
      <w:r w:rsidRPr="00BA0762">
        <w:rPr>
          <w:b/>
          <w:bCs/>
        </w:rPr>
        <w:t>Motivos de cambio:</w:t>
      </w:r>
      <w:r w:rsidRPr="00BA0762">
        <w:t xml:space="preserve"> Se realiza para evitar toxicidades a corto o largo plazo, mejorar la posología, evitar interacciones con otros fármacos, o tratar comorbilidades emergentes.</w:t>
      </w:r>
    </w:p>
    <w:p w14:paraId="7F12357E" w14:textId="77777777" w:rsidR="00BA0762" w:rsidRPr="00BA0762" w:rsidRDefault="00BA0762" w:rsidP="00BA0762">
      <w:pPr>
        <w:numPr>
          <w:ilvl w:val="0"/>
          <w:numId w:val="33"/>
        </w:numPr>
      </w:pPr>
      <w:r w:rsidRPr="00BA0762">
        <w:rPr>
          <w:b/>
          <w:bCs/>
        </w:rPr>
        <w:t>Estrategias:</w:t>
      </w:r>
      <w:r w:rsidRPr="00BA0762">
        <w:t xml:space="preserve"> Para prevenir la mala adherencia, se prefieren las pautas de pastilla única. Se contemplan </w:t>
      </w:r>
      <w:proofErr w:type="spellStart"/>
      <w:r w:rsidRPr="00BA0762">
        <w:t>biterapias</w:t>
      </w:r>
      <w:proofErr w:type="spellEnd"/>
      <w:r w:rsidRPr="00BA0762">
        <w:t xml:space="preserve"> de mantenimiento (como DTG+RPV o DTG+3TC) e incluso el uso reciente de inyectables de acción prolongada por vía intramuscular (como CAB+RPV AP, que puede administrarse cada dos meses) para evitar la medicación oral diaria.</w:t>
      </w:r>
    </w:p>
    <w:p w14:paraId="789B0C6C" w14:textId="77777777" w:rsidR="00BA0762" w:rsidRPr="00BA0762" w:rsidRDefault="00BA0762" w:rsidP="00BA0762">
      <w:pPr>
        <w:rPr>
          <w:b/>
          <w:bCs/>
        </w:rPr>
      </w:pPr>
      <w:r w:rsidRPr="00BA0762">
        <w:rPr>
          <w:b/>
          <w:bCs/>
        </w:rPr>
        <w:lastRenderedPageBreak/>
        <w:t>4. Fracaso Virológico (FV)</w:t>
      </w:r>
    </w:p>
    <w:p w14:paraId="6F3874F5" w14:textId="77777777" w:rsidR="00BA0762" w:rsidRPr="00BA0762" w:rsidRDefault="00BA0762" w:rsidP="00BA0762">
      <w:pPr>
        <w:numPr>
          <w:ilvl w:val="0"/>
          <w:numId w:val="34"/>
        </w:numPr>
      </w:pPr>
      <w:r w:rsidRPr="00BA0762">
        <w:rPr>
          <w:b/>
          <w:bCs/>
        </w:rPr>
        <w:t>Definición:</w:t>
      </w:r>
      <w:r w:rsidRPr="00BA0762">
        <w:t xml:space="preserve"> Se considera fracaso virológico cuando la CVP es superior a 200 copias/</w:t>
      </w:r>
      <w:proofErr w:type="spellStart"/>
      <w:r w:rsidRPr="00BA0762">
        <w:t>mL</w:t>
      </w:r>
      <w:proofErr w:type="spellEnd"/>
      <w:r w:rsidRPr="00BA0762">
        <w:t xml:space="preserve"> tras 24 semanas desde el inicio del TAR, debiendo confirmarse en una segunda muestra consecutiva.</w:t>
      </w:r>
    </w:p>
    <w:p w14:paraId="63EBC03B" w14:textId="77777777" w:rsidR="00BA0762" w:rsidRPr="00BA0762" w:rsidRDefault="00BA0762" w:rsidP="00BA0762">
      <w:pPr>
        <w:numPr>
          <w:ilvl w:val="0"/>
          <w:numId w:val="34"/>
        </w:numPr>
      </w:pPr>
      <w:r w:rsidRPr="00BA0762">
        <w:rPr>
          <w:b/>
          <w:bCs/>
        </w:rPr>
        <w:t>Actuación:</w:t>
      </w:r>
      <w:r w:rsidRPr="00BA0762">
        <w:t xml:space="preserve"> El cambio de pauta debe hacerse de forma precoz basándose en un test de resistencias en plasma. El nuevo esquema debe contener al menos dos fármacos plenamente activos, siendo indispensable que uno de ellos tenga alta barrera a la resistencia (como los INI de segunda generación o el inhibidor de proteasa potenciado, DRV/p).</w:t>
      </w:r>
    </w:p>
    <w:p w14:paraId="663A808E" w14:textId="77777777" w:rsidR="00BA0762" w:rsidRPr="00BA0762" w:rsidRDefault="00BA0762" w:rsidP="00BA0762">
      <w:pPr>
        <w:rPr>
          <w:b/>
          <w:bCs/>
        </w:rPr>
      </w:pPr>
      <w:r w:rsidRPr="00BA0762">
        <w:rPr>
          <w:b/>
          <w:bCs/>
        </w:rPr>
        <w:t>5. Tolerabilidad, Efectos Adversos y Adherencia</w:t>
      </w:r>
    </w:p>
    <w:p w14:paraId="6D62C1B7" w14:textId="77777777" w:rsidR="00BA0762" w:rsidRPr="00BA0762" w:rsidRDefault="00BA0762" w:rsidP="00BA0762">
      <w:pPr>
        <w:numPr>
          <w:ilvl w:val="0"/>
          <w:numId w:val="35"/>
        </w:numPr>
      </w:pPr>
      <w:r w:rsidRPr="00BA0762">
        <w:rPr>
          <w:b/>
          <w:bCs/>
        </w:rPr>
        <w:t>Adherencia:</w:t>
      </w:r>
      <w:r w:rsidRPr="00BA0762">
        <w:t xml:space="preserve"> Es el pilar del éxito. La adherencia subóptima es la primera causa de fracaso terapéutico.</w:t>
      </w:r>
    </w:p>
    <w:p w14:paraId="00AE8C89" w14:textId="77777777" w:rsidR="00BA0762" w:rsidRPr="00BA0762" w:rsidRDefault="00BA0762" w:rsidP="00BA0762">
      <w:pPr>
        <w:numPr>
          <w:ilvl w:val="0"/>
          <w:numId w:val="35"/>
        </w:numPr>
      </w:pPr>
      <w:r w:rsidRPr="00BA0762">
        <w:rPr>
          <w:b/>
          <w:bCs/>
        </w:rPr>
        <w:t>Efectos a corto plazo:</w:t>
      </w:r>
      <w:r w:rsidRPr="00BA0762">
        <w:t xml:space="preserve"> Incluyen toxicidades digestivas (asociadas a IP), cutáneas o neuropsiquiátricas (asociadas al Efavirenz y algunos INI).</w:t>
      </w:r>
    </w:p>
    <w:p w14:paraId="43520B68" w14:textId="77777777" w:rsidR="00BA0762" w:rsidRPr="00BA0762" w:rsidRDefault="00BA0762" w:rsidP="00BA0762">
      <w:pPr>
        <w:numPr>
          <w:ilvl w:val="0"/>
          <w:numId w:val="35"/>
        </w:numPr>
      </w:pPr>
      <w:r w:rsidRPr="00BA0762">
        <w:rPr>
          <w:b/>
          <w:bCs/>
        </w:rPr>
        <w:t>Efectos a largo plazo:</w:t>
      </w:r>
      <w:r w:rsidRPr="00BA0762">
        <w:t xml:space="preserve"> Destacan el impacto sobre la densidad mineral ósea y función renal (especialmente asociados al uso de </w:t>
      </w:r>
      <w:proofErr w:type="spellStart"/>
      <w:r w:rsidRPr="00BA0762">
        <w:t>Tenofovir</w:t>
      </w:r>
      <w:proofErr w:type="spellEnd"/>
      <w:r w:rsidRPr="00BA0762">
        <w:t xml:space="preserve"> </w:t>
      </w:r>
      <w:proofErr w:type="spellStart"/>
      <w:r w:rsidRPr="00BA0762">
        <w:t>disoproxilo</w:t>
      </w:r>
      <w:proofErr w:type="spellEnd"/>
      <w:r w:rsidRPr="00BA0762">
        <w:t xml:space="preserve">, TDF), así como una preocupante ganancia de peso vinculada recientemente al uso de ciertos INI (DTG, BIC) y </w:t>
      </w:r>
      <w:proofErr w:type="spellStart"/>
      <w:r w:rsidRPr="00BA0762">
        <w:t>Tenofovir</w:t>
      </w:r>
      <w:proofErr w:type="spellEnd"/>
      <w:r w:rsidRPr="00BA0762">
        <w:t xml:space="preserve"> </w:t>
      </w:r>
      <w:proofErr w:type="spellStart"/>
      <w:r w:rsidRPr="00BA0762">
        <w:t>alafenamida</w:t>
      </w:r>
      <w:proofErr w:type="spellEnd"/>
      <w:r w:rsidRPr="00BA0762">
        <w:t xml:space="preserve"> (TAF).</w:t>
      </w:r>
    </w:p>
    <w:p w14:paraId="3D8C71FE" w14:textId="77777777" w:rsidR="00BA0762" w:rsidRPr="00BA0762" w:rsidRDefault="00BA0762" w:rsidP="00BA0762">
      <w:pPr>
        <w:rPr>
          <w:b/>
          <w:bCs/>
        </w:rPr>
      </w:pPr>
      <w:r w:rsidRPr="00BA0762">
        <w:rPr>
          <w:b/>
          <w:bCs/>
        </w:rPr>
        <w:t>6. Situaciones Clínicas Especiales e Interacciones</w:t>
      </w:r>
    </w:p>
    <w:p w14:paraId="4FFE0114" w14:textId="77777777" w:rsidR="00BA0762" w:rsidRPr="00BA0762" w:rsidRDefault="00BA0762" w:rsidP="00BA0762">
      <w:pPr>
        <w:numPr>
          <w:ilvl w:val="0"/>
          <w:numId w:val="36"/>
        </w:numPr>
      </w:pPr>
      <w:r w:rsidRPr="00BA0762">
        <w:rPr>
          <w:b/>
          <w:bCs/>
        </w:rPr>
        <w:t>Primoinfección:</w:t>
      </w:r>
      <w:r w:rsidRPr="00BA0762">
        <w:t xml:space="preserve"> Se debe iniciar el TAR inmediatamente durante la fase aguda de la infección y mantenerlo de forma indefinida, ya que preserva el sistema inmune y reduce el reservorio viral.</w:t>
      </w:r>
    </w:p>
    <w:p w14:paraId="5E7C3401" w14:textId="77777777" w:rsidR="00BA0762" w:rsidRPr="00BA0762" w:rsidRDefault="00BA0762" w:rsidP="00BA0762">
      <w:pPr>
        <w:numPr>
          <w:ilvl w:val="0"/>
          <w:numId w:val="36"/>
        </w:numPr>
      </w:pPr>
      <w:r w:rsidRPr="00BA0762">
        <w:rPr>
          <w:b/>
          <w:bCs/>
        </w:rPr>
        <w:t>Embarazo:</w:t>
      </w:r>
      <w:r w:rsidRPr="00BA0762">
        <w:t xml:space="preserve"> El tratamiento debe empezarse lo más precozmente posible, optando por fármacos altamente seguros y con gran experiencia (como RAL, DTG o DRV/r + 2 ITIAN), con el objetivo estricto de llegar al parto con una carga viral suprimida para evitar la transmisión al bebé.</w:t>
      </w:r>
    </w:p>
    <w:p w14:paraId="5DE3FF1A" w14:textId="77777777" w:rsidR="00BA0762" w:rsidRPr="00BA0762" w:rsidRDefault="00BA0762" w:rsidP="00BA0762">
      <w:pPr>
        <w:numPr>
          <w:ilvl w:val="0"/>
          <w:numId w:val="36"/>
        </w:numPr>
      </w:pPr>
      <w:r w:rsidRPr="00BA0762">
        <w:rPr>
          <w:b/>
          <w:bCs/>
        </w:rPr>
        <w:t>Tuberculosis (TB):</w:t>
      </w:r>
      <w:r w:rsidRPr="00BA0762">
        <w:t xml:space="preserve"> Si el paciente presenta TB y CD4+ bajos, el TAR debe iniciarse precozmente (en las dos primeras semanas). Supone un reto médico por las complejas interacciones entre los fármacos antirretrovirales y la rifampicina.</w:t>
      </w:r>
    </w:p>
    <w:p w14:paraId="0EBE6223" w14:textId="77777777" w:rsidR="00BA0762" w:rsidRPr="00BA0762" w:rsidRDefault="00BA0762" w:rsidP="00BA0762">
      <w:pPr>
        <w:numPr>
          <w:ilvl w:val="0"/>
          <w:numId w:val="36"/>
        </w:numPr>
      </w:pPr>
      <w:r w:rsidRPr="00BA0762">
        <w:rPr>
          <w:b/>
          <w:bCs/>
        </w:rPr>
        <w:t>Interacciones farmacológicas:</w:t>
      </w:r>
      <w:r w:rsidRPr="00BA0762">
        <w:t xml:space="preserve"> Los antirretrovirales suelen metabolizarse a través del citocromo P450, lo que genera riesgos importantes de interacción con corticoides, estatinas, anticonceptivos, productos de herboristería y drogas recreativas, exigiendo extrema precaución clínica.</w:t>
      </w:r>
    </w:p>
    <w:p w14:paraId="67A4A6E5" w14:textId="77777777" w:rsidR="00BA0762" w:rsidRDefault="00BA0762" w:rsidP="00A663C9">
      <w:pPr>
        <w:rPr>
          <w:b/>
          <w:bCs/>
          <w:sz w:val="24"/>
          <w:szCs w:val="24"/>
          <w:u w:val="single"/>
        </w:rPr>
      </w:pPr>
    </w:p>
    <w:p w14:paraId="47D69201" w14:textId="77777777" w:rsidR="00BA0762" w:rsidRDefault="00BA0762" w:rsidP="00A663C9">
      <w:pPr>
        <w:rPr>
          <w:b/>
          <w:bCs/>
          <w:sz w:val="24"/>
          <w:szCs w:val="24"/>
          <w:u w:val="single"/>
        </w:rPr>
      </w:pPr>
    </w:p>
    <w:p w14:paraId="1CBCB6CE" w14:textId="77777777" w:rsidR="00BA0762" w:rsidRDefault="00BA0762" w:rsidP="00A663C9">
      <w:pPr>
        <w:rPr>
          <w:b/>
          <w:bCs/>
          <w:sz w:val="24"/>
          <w:szCs w:val="24"/>
          <w:u w:val="single"/>
        </w:rPr>
      </w:pPr>
    </w:p>
    <w:p w14:paraId="786F4587" w14:textId="77777777" w:rsidR="00BA0762" w:rsidRDefault="00BA0762" w:rsidP="00A663C9">
      <w:pPr>
        <w:rPr>
          <w:b/>
          <w:bCs/>
          <w:sz w:val="24"/>
          <w:szCs w:val="24"/>
          <w:u w:val="single"/>
        </w:rPr>
      </w:pPr>
    </w:p>
    <w:p w14:paraId="3B6EA15F" w14:textId="77777777" w:rsidR="00BA0762" w:rsidRDefault="00BA0762" w:rsidP="00A663C9">
      <w:pPr>
        <w:rPr>
          <w:b/>
          <w:bCs/>
          <w:sz w:val="24"/>
          <w:szCs w:val="24"/>
          <w:u w:val="single"/>
        </w:rPr>
      </w:pPr>
    </w:p>
    <w:p w14:paraId="73E033D3" w14:textId="4DA12E00" w:rsidR="00A663C9" w:rsidRPr="00080A1C" w:rsidRDefault="001C4A46" w:rsidP="00A663C9">
      <w:pPr>
        <w:rPr>
          <w:b/>
          <w:bCs/>
          <w:sz w:val="24"/>
          <w:szCs w:val="24"/>
          <w:u w:val="single"/>
        </w:rPr>
      </w:pPr>
      <w:r w:rsidRPr="00080A1C">
        <w:rPr>
          <w:b/>
          <w:bCs/>
          <w:sz w:val="24"/>
          <w:szCs w:val="24"/>
          <w:u w:val="single"/>
        </w:rPr>
        <w:lastRenderedPageBreak/>
        <w:t>GUIA_GESIDA_febrero_2020_Adherencia</w:t>
      </w:r>
    </w:p>
    <w:p w14:paraId="5B28B26A" w14:textId="77777777" w:rsidR="00BA0762" w:rsidRPr="00BA0762" w:rsidRDefault="00BA0762" w:rsidP="00BA0762">
      <w:r w:rsidRPr="00BA0762">
        <w:t>Su objetivo es proporcionar herramientas y estrategias para asegurar que los pacientes sigan correctamente su tratamiento, ya que la falta de cumplimiento es la principal causa de fracaso terapéutico y desarrollo de resistencias.</w:t>
      </w:r>
    </w:p>
    <w:p w14:paraId="245A5B4F" w14:textId="77777777" w:rsidR="00BA0762" w:rsidRPr="00BA0762" w:rsidRDefault="00BA0762" w:rsidP="00BA0762">
      <w:pPr>
        <w:rPr>
          <w:b/>
          <w:bCs/>
        </w:rPr>
      </w:pPr>
      <w:r w:rsidRPr="00BA0762">
        <w:rPr>
          <w:b/>
          <w:bCs/>
        </w:rPr>
        <w:t>1. Definición e Importancia de la Adherencia</w:t>
      </w:r>
    </w:p>
    <w:p w14:paraId="396DA83C" w14:textId="77777777" w:rsidR="00BA0762" w:rsidRPr="00BA0762" w:rsidRDefault="00BA0762" w:rsidP="00BA0762">
      <w:pPr>
        <w:numPr>
          <w:ilvl w:val="0"/>
          <w:numId w:val="37"/>
        </w:numPr>
      </w:pPr>
      <w:r w:rsidRPr="00BA0762">
        <w:rPr>
          <w:b/>
          <w:bCs/>
        </w:rPr>
        <w:t>Concepto</w:t>
      </w:r>
      <w:r w:rsidRPr="00BA0762">
        <w:t>: La adherencia se define como el grado en que el comportamiento de una persona (tomar la medicación, seguir un régimen alimentario o ejecutar cambios del modo de vida) se corresponde con las recomendaciones acordadas con el profesional sanitario.</w:t>
      </w:r>
    </w:p>
    <w:p w14:paraId="3EDBEB07" w14:textId="77777777" w:rsidR="00BA0762" w:rsidRPr="00BA0762" w:rsidRDefault="00BA0762" w:rsidP="00BA0762">
      <w:pPr>
        <w:numPr>
          <w:ilvl w:val="0"/>
          <w:numId w:val="37"/>
        </w:numPr>
      </w:pPr>
      <w:r w:rsidRPr="00BA0762">
        <w:rPr>
          <w:b/>
          <w:bCs/>
        </w:rPr>
        <w:t>Nivel Óptimo</w:t>
      </w:r>
      <w:r w:rsidRPr="00BA0762">
        <w:t>: Tradicionalmente se exigía una adherencia superior al 95%, aunque con las pautas actuales de alta barrera genética, niveles algo inferiores podrían ser suficientes para mantener la supresión viral; no obstante, el objetivo clínico sigue siendo el máximo cumplimiento posible.</w:t>
      </w:r>
    </w:p>
    <w:p w14:paraId="15D42E3B" w14:textId="77777777" w:rsidR="00BA0762" w:rsidRPr="00BA0762" w:rsidRDefault="00BA0762" w:rsidP="00BA0762">
      <w:pPr>
        <w:rPr>
          <w:b/>
          <w:bCs/>
        </w:rPr>
      </w:pPr>
      <w:r w:rsidRPr="00BA0762">
        <w:rPr>
          <w:b/>
          <w:bCs/>
        </w:rPr>
        <w:t>2. Factores que Influyen en la Adherencia</w:t>
      </w:r>
    </w:p>
    <w:p w14:paraId="07FE5A3D" w14:textId="77777777" w:rsidR="00BA0762" w:rsidRPr="00BA0762" w:rsidRDefault="00BA0762" w:rsidP="00BA0762">
      <w:r w:rsidRPr="00BA0762">
        <w:t>La guía clasifica los obstáculos en varias categorías:</w:t>
      </w:r>
    </w:p>
    <w:p w14:paraId="43D8909B" w14:textId="77777777" w:rsidR="00BA0762" w:rsidRPr="00BA0762" w:rsidRDefault="00BA0762" w:rsidP="00BA0762">
      <w:pPr>
        <w:numPr>
          <w:ilvl w:val="0"/>
          <w:numId w:val="38"/>
        </w:numPr>
      </w:pPr>
      <w:r w:rsidRPr="00BA0762">
        <w:rPr>
          <w:b/>
          <w:bCs/>
        </w:rPr>
        <w:t>Relacionados con el paciente</w:t>
      </w:r>
      <w:r w:rsidRPr="00BA0762">
        <w:t>: Olvidos, falta de apoyo social, problemas de salud mental (depresión, ansiedad), consumo de sustancias o creencias negativas sobre la medicación.</w:t>
      </w:r>
    </w:p>
    <w:p w14:paraId="663057DB" w14:textId="77777777" w:rsidR="00BA0762" w:rsidRPr="00BA0762" w:rsidRDefault="00BA0762" w:rsidP="00BA0762">
      <w:pPr>
        <w:numPr>
          <w:ilvl w:val="0"/>
          <w:numId w:val="38"/>
        </w:numPr>
      </w:pPr>
      <w:r w:rsidRPr="00BA0762">
        <w:rPr>
          <w:b/>
          <w:bCs/>
        </w:rPr>
        <w:t>Relacionados con el tratamiento</w:t>
      </w:r>
      <w:r w:rsidRPr="00BA0762">
        <w:t xml:space="preserve">: Complejidad de la pauta (número de pastillas, frecuencia de tomas), efectos secundarios </w:t>
      </w:r>
      <w:proofErr w:type="spellStart"/>
      <w:r w:rsidRPr="00BA0762">
        <w:t>y</w:t>
      </w:r>
      <w:proofErr w:type="spellEnd"/>
      <w:r w:rsidRPr="00BA0762">
        <w:t xml:space="preserve"> interferencias con la vida diaria (requisitos de comida).</w:t>
      </w:r>
    </w:p>
    <w:p w14:paraId="67A76CAF" w14:textId="77777777" w:rsidR="00BA0762" w:rsidRPr="00BA0762" w:rsidRDefault="00BA0762" w:rsidP="00BA0762">
      <w:pPr>
        <w:numPr>
          <w:ilvl w:val="0"/>
          <w:numId w:val="38"/>
        </w:numPr>
      </w:pPr>
      <w:r w:rsidRPr="00BA0762">
        <w:rPr>
          <w:b/>
          <w:bCs/>
        </w:rPr>
        <w:t>Relacionados con el sistema sanitario</w:t>
      </w:r>
      <w:r w:rsidRPr="00BA0762">
        <w:t>: Relación médico-paciente deficiente, falta de tiempo en consulta o dificultades para acceder a la medicación.</w:t>
      </w:r>
    </w:p>
    <w:p w14:paraId="1D0166A5" w14:textId="77777777" w:rsidR="00BA0762" w:rsidRPr="00BA0762" w:rsidRDefault="00BA0762" w:rsidP="00BA0762">
      <w:pPr>
        <w:rPr>
          <w:b/>
          <w:bCs/>
        </w:rPr>
      </w:pPr>
      <w:r w:rsidRPr="00BA0762">
        <w:rPr>
          <w:b/>
          <w:bCs/>
        </w:rPr>
        <w:t>3. Métodos de Medición y Cribado</w:t>
      </w:r>
    </w:p>
    <w:p w14:paraId="59CB7F16" w14:textId="77777777" w:rsidR="00BA0762" w:rsidRPr="00BA0762" w:rsidRDefault="00BA0762" w:rsidP="00BA0762">
      <w:r w:rsidRPr="00BA0762">
        <w:t>No existe un "estándar de oro" único, por lo que se recomienda combinar varios métodos:</w:t>
      </w:r>
    </w:p>
    <w:p w14:paraId="6ED76334" w14:textId="77777777" w:rsidR="00BA0762" w:rsidRPr="00BA0762" w:rsidRDefault="00BA0762" w:rsidP="00BA0762">
      <w:pPr>
        <w:numPr>
          <w:ilvl w:val="0"/>
          <w:numId w:val="39"/>
        </w:numPr>
      </w:pPr>
      <w:r w:rsidRPr="00BA0762">
        <w:rPr>
          <w:b/>
          <w:bCs/>
        </w:rPr>
        <w:t>Métodos Indirectos</w:t>
      </w:r>
      <w:r w:rsidRPr="00BA0762">
        <w:t>:</w:t>
      </w:r>
    </w:p>
    <w:p w14:paraId="5805B787" w14:textId="77777777" w:rsidR="00BA0762" w:rsidRPr="00BA0762" w:rsidRDefault="00BA0762" w:rsidP="00BA0762">
      <w:pPr>
        <w:numPr>
          <w:ilvl w:val="1"/>
          <w:numId w:val="39"/>
        </w:numPr>
      </w:pPr>
      <w:r w:rsidRPr="00BA0762">
        <w:rPr>
          <w:b/>
          <w:bCs/>
        </w:rPr>
        <w:t>Registros de dispensación en farmacia</w:t>
      </w:r>
      <w:r w:rsidRPr="00BA0762">
        <w:t>: Es un método muy fiable que mide si el paciente recoge su medicación a tiempo.</w:t>
      </w:r>
    </w:p>
    <w:p w14:paraId="6E5E96C6" w14:textId="77777777" w:rsidR="00BA0762" w:rsidRPr="00BA0762" w:rsidRDefault="00BA0762" w:rsidP="00BA0762">
      <w:pPr>
        <w:numPr>
          <w:ilvl w:val="1"/>
          <w:numId w:val="39"/>
        </w:numPr>
      </w:pPr>
      <w:r w:rsidRPr="00BA0762">
        <w:rPr>
          <w:b/>
          <w:bCs/>
        </w:rPr>
        <w:t>Cuestionarios validados</w:t>
      </w:r>
      <w:r w:rsidRPr="00BA0762">
        <w:t xml:space="preserve">: Como el </w:t>
      </w:r>
      <w:r w:rsidRPr="00BA0762">
        <w:rPr>
          <w:b/>
          <w:bCs/>
        </w:rPr>
        <w:t>SMAQ</w:t>
      </w:r>
      <w:r w:rsidRPr="00BA0762">
        <w:t xml:space="preserve"> (Six-</w:t>
      </w:r>
      <w:proofErr w:type="spellStart"/>
      <w:r w:rsidRPr="00BA0762">
        <w:t>item</w:t>
      </w:r>
      <w:proofErr w:type="spellEnd"/>
      <w:r w:rsidRPr="00BA0762">
        <w:t xml:space="preserve"> </w:t>
      </w:r>
      <w:proofErr w:type="spellStart"/>
      <w:r w:rsidRPr="00BA0762">
        <w:t>Simplified</w:t>
      </w:r>
      <w:proofErr w:type="spellEnd"/>
      <w:r w:rsidRPr="00BA0762">
        <w:t xml:space="preserve"> </w:t>
      </w:r>
      <w:proofErr w:type="spellStart"/>
      <w:r w:rsidRPr="00BA0762">
        <w:t>Medication</w:t>
      </w:r>
      <w:proofErr w:type="spellEnd"/>
      <w:r w:rsidRPr="00BA0762">
        <w:t xml:space="preserve"> </w:t>
      </w:r>
      <w:proofErr w:type="spellStart"/>
      <w:r w:rsidRPr="00BA0762">
        <w:t>Adherence</w:t>
      </w:r>
      <w:proofErr w:type="spellEnd"/>
      <w:r w:rsidRPr="00BA0762">
        <w:t xml:space="preserve"> </w:t>
      </w:r>
      <w:proofErr w:type="spellStart"/>
      <w:r w:rsidRPr="00BA0762">
        <w:t>Questionnaire</w:t>
      </w:r>
      <w:proofErr w:type="spellEnd"/>
      <w:r w:rsidRPr="00BA0762">
        <w:t xml:space="preserve">) o el </w:t>
      </w:r>
      <w:r w:rsidRPr="00BA0762">
        <w:rPr>
          <w:b/>
          <w:bCs/>
        </w:rPr>
        <w:t>SERAD</w:t>
      </w:r>
      <w:r w:rsidRPr="00BA0762">
        <w:t>, que permiten identificar rápidamente a pacientes no adherentes en la práctica clínica.</w:t>
      </w:r>
    </w:p>
    <w:p w14:paraId="3DCB16E0" w14:textId="77777777" w:rsidR="00BA0762" w:rsidRPr="00BA0762" w:rsidRDefault="00BA0762" w:rsidP="00BA0762">
      <w:pPr>
        <w:numPr>
          <w:ilvl w:val="1"/>
          <w:numId w:val="39"/>
        </w:numPr>
      </w:pPr>
      <w:r w:rsidRPr="00BA0762">
        <w:rPr>
          <w:b/>
          <w:bCs/>
        </w:rPr>
        <w:t>Recuento de comprimidos</w:t>
      </w:r>
      <w:r w:rsidRPr="00BA0762">
        <w:t>: Comparar los comprimidos restantes con los que deberían haber sobrado.</w:t>
      </w:r>
    </w:p>
    <w:p w14:paraId="33396D69" w14:textId="77777777" w:rsidR="00BA0762" w:rsidRPr="00BA0762" w:rsidRDefault="00BA0762" w:rsidP="00BA0762">
      <w:pPr>
        <w:numPr>
          <w:ilvl w:val="0"/>
          <w:numId w:val="39"/>
        </w:numPr>
      </w:pPr>
      <w:r w:rsidRPr="00BA0762">
        <w:rPr>
          <w:b/>
          <w:bCs/>
        </w:rPr>
        <w:t>Métodos Directos</w:t>
      </w:r>
      <w:r w:rsidRPr="00BA0762">
        <w:t>: Medición de fármacos en sangre, orina o cabello, aunque su uso es menos frecuente por su coste y complejidad técnica.</w:t>
      </w:r>
    </w:p>
    <w:p w14:paraId="718B8704" w14:textId="77777777" w:rsidR="00BA0762" w:rsidRDefault="00BA0762" w:rsidP="00BA0762">
      <w:pPr>
        <w:rPr>
          <w:b/>
          <w:bCs/>
        </w:rPr>
      </w:pPr>
    </w:p>
    <w:p w14:paraId="709B0218" w14:textId="77777777" w:rsidR="00BA0762" w:rsidRDefault="00BA0762" w:rsidP="00BA0762">
      <w:pPr>
        <w:rPr>
          <w:b/>
          <w:bCs/>
        </w:rPr>
      </w:pPr>
    </w:p>
    <w:p w14:paraId="3D272D69" w14:textId="1E319E84" w:rsidR="00BA0762" w:rsidRPr="00BA0762" w:rsidRDefault="00BA0762" w:rsidP="00BA0762">
      <w:pPr>
        <w:rPr>
          <w:b/>
          <w:bCs/>
        </w:rPr>
      </w:pPr>
      <w:r w:rsidRPr="00BA0762">
        <w:rPr>
          <w:b/>
          <w:bCs/>
        </w:rPr>
        <w:lastRenderedPageBreak/>
        <w:t>4. Estrategias de Intervención</w:t>
      </w:r>
    </w:p>
    <w:p w14:paraId="2305EDF0" w14:textId="77777777" w:rsidR="00BA0762" w:rsidRPr="00BA0762" w:rsidRDefault="00BA0762" w:rsidP="00BA0762">
      <w:pPr>
        <w:numPr>
          <w:ilvl w:val="0"/>
          <w:numId w:val="40"/>
        </w:numPr>
      </w:pPr>
      <w:r w:rsidRPr="00BA0762">
        <w:rPr>
          <w:b/>
          <w:bCs/>
        </w:rPr>
        <w:t>Simplificación del tratamiento</w:t>
      </w:r>
      <w:r w:rsidRPr="00BA0762">
        <w:t xml:space="preserve">: Siempre que sea posible, utilizar pautas de </w:t>
      </w:r>
      <w:r w:rsidRPr="00BA0762">
        <w:rPr>
          <w:b/>
          <w:bCs/>
        </w:rPr>
        <w:t>comprimido único (STR)</w:t>
      </w:r>
      <w:r w:rsidRPr="00BA0762">
        <w:t xml:space="preserve"> una vez al día para reducir la carga de pastillas.</w:t>
      </w:r>
    </w:p>
    <w:p w14:paraId="3585CD08" w14:textId="77777777" w:rsidR="00BA0762" w:rsidRPr="00BA0762" w:rsidRDefault="00BA0762" w:rsidP="00BA0762">
      <w:pPr>
        <w:numPr>
          <w:ilvl w:val="0"/>
          <w:numId w:val="40"/>
        </w:numPr>
      </w:pPr>
      <w:r w:rsidRPr="00BA0762">
        <w:rPr>
          <w:b/>
          <w:bCs/>
        </w:rPr>
        <w:t>Entrevista Motivacional</w:t>
      </w:r>
      <w:r w:rsidRPr="00BA0762">
        <w:t>: Técnica de comunicación centrada en el paciente para ayudarle a encontrar sus propias razones para cambiar y mejorar el cumplimiento.</w:t>
      </w:r>
    </w:p>
    <w:p w14:paraId="69177243" w14:textId="77777777" w:rsidR="00BA0762" w:rsidRPr="00BA0762" w:rsidRDefault="00BA0762" w:rsidP="00BA0762">
      <w:pPr>
        <w:numPr>
          <w:ilvl w:val="0"/>
          <w:numId w:val="40"/>
        </w:numPr>
      </w:pPr>
      <w:r w:rsidRPr="00BA0762">
        <w:rPr>
          <w:b/>
          <w:bCs/>
        </w:rPr>
        <w:t>Apoyo Tecnológico</w:t>
      </w:r>
      <w:r w:rsidRPr="00BA0762">
        <w:t>: Uso de alarmas, aplicaciones móviles y recordatorios por SMS que han demostrado ser útiles para reducir los olvidos.</w:t>
      </w:r>
    </w:p>
    <w:p w14:paraId="438763AF" w14:textId="77777777" w:rsidR="00BA0762" w:rsidRPr="00BA0762" w:rsidRDefault="00BA0762" w:rsidP="00BA0762">
      <w:pPr>
        <w:numPr>
          <w:ilvl w:val="0"/>
          <w:numId w:val="40"/>
        </w:numPr>
      </w:pPr>
      <w:r w:rsidRPr="00BA0762">
        <w:rPr>
          <w:b/>
          <w:bCs/>
        </w:rPr>
        <w:t>Atención Multidisciplinaria</w:t>
      </w:r>
      <w:r w:rsidRPr="00BA0762">
        <w:t>: Coordinación entre médicos, enfermería y farmacia hospitalaria para realizar un seguimiento estrecho del paciente.</w:t>
      </w:r>
    </w:p>
    <w:p w14:paraId="3C080744" w14:textId="77777777" w:rsidR="00BA0762" w:rsidRPr="00BA0762" w:rsidRDefault="00BA0762" w:rsidP="00BA0762">
      <w:pPr>
        <w:rPr>
          <w:b/>
          <w:bCs/>
        </w:rPr>
      </w:pPr>
      <w:r w:rsidRPr="00BA0762">
        <w:rPr>
          <w:b/>
          <w:bCs/>
        </w:rPr>
        <w:t>5. Modelos de Atención (Modelo CMO)</w:t>
      </w:r>
    </w:p>
    <w:p w14:paraId="1B0B9B9D" w14:textId="77777777" w:rsidR="00BA0762" w:rsidRPr="00BA0762" w:rsidRDefault="00BA0762" w:rsidP="00BA0762">
      <w:pPr>
        <w:numPr>
          <w:ilvl w:val="0"/>
          <w:numId w:val="41"/>
        </w:numPr>
      </w:pPr>
      <w:r w:rsidRPr="00BA0762">
        <w:t xml:space="preserve">La guía destaca el modelo de </w:t>
      </w:r>
      <w:r w:rsidRPr="00BA0762">
        <w:rPr>
          <w:b/>
          <w:bCs/>
        </w:rPr>
        <w:t>Capacidad-Motivación-Oportunidad (CMO)</w:t>
      </w:r>
      <w:r w:rsidRPr="00BA0762">
        <w:t xml:space="preserve"> en la atención farmacéutica, que busca ir más allá de la simple entrega de fármacos, centrándose en las necesidades individuales del paciente y en el uso de herramientas digitales para un seguimiento en tiempo real</w:t>
      </w:r>
    </w:p>
    <w:p w14:paraId="3DEF9C08" w14:textId="77777777" w:rsidR="001C4A46" w:rsidRDefault="001C4A46" w:rsidP="00A663C9">
      <w:pPr>
        <w:rPr>
          <w:b/>
          <w:bCs/>
          <w:sz w:val="24"/>
          <w:szCs w:val="24"/>
        </w:rPr>
      </w:pPr>
    </w:p>
    <w:p w14:paraId="013CE98C" w14:textId="77777777" w:rsidR="00875F98" w:rsidRDefault="00875F98" w:rsidP="00A663C9">
      <w:pPr>
        <w:rPr>
          <w:b/>
          <w:bCs/>
          <w:sz w:val="24"/>
          <w:szCs w:val="24"/>
        </w:rPr>
      </w:pPr>
    </w:p>
    <w:p w14:paraId="3BF99353" w14:textId="77777777" w:rsidR="00875F98" w:rsidRDefault="00875F98" w:rsidP="00A663C9">
      <w:pPr>
        <w:rPr>
          <w:b/>
          <w:bCs/>
          <w:sz w:val="24"/>
          <w:szCs w:val="24"/>
        </w:rPr>
      </w:pPr>
    </w:p>
    <w:p w14:paraId="382893B1" w14:textId="77777777" w:rsidR="00875F98" w:rsidRDefault="00875F98" w:rsidP="00A663C9">
      <w:pPr>
        <w:rPr>
          <w:b/>
          <w:bCs/>
          <w:sz w:val="24"/>
          <w:szCs w:val="24"/>
        </w:rPr>
      </w:pPr>
    </w:p>
    <w:p w14:paraId="081F977B" w14:textId="77777777" w:rsidR="00875F98" w:rsidRDefault="00875F98" w:rsidP="00A663C9">
      <w:pPr>
        <w:rPr>
          <w:b/>
          <w:bCs/>
          <w:sz w:val="24"/>
          <w:szCs w:val="24"/>
        </w:rPr>
      </w:pPr>
    </w:p>
    <w:p w14:paraId="70EA9D3C" w14:textId="77777777" w:rsidR="00875F98" w:rsidRDefault="00875F98" w:rsidP="00A663C9">
      <w:pPr>
        <w:rPr>
          <w:b/>
          <w:bCs/>
          <w:sz w:val="24"/>
          <w:szCs w:val="24"/>
        </w:rPr>
      </w:pPr>
    </w:p>
    <w:p w14:paraId="372CD920" w14:textId="77777777" w:rsidR="00875F98" w:rsidRDefault="00875F98" w:rsidP="00A663C9">
      <w:pPr>
        <w:rPr>
          <w:b/>
          <w:bCs/>
          <w:sz w:val="24"/>
          <w:szCs w:val="24"/>
        </w:rPr>
      </w:pPr>
    </w:p>
    <w:p w14:paraId="65626E09" w14:textId="77777777" w:rsidR="00875F98" w:rsidRDefault="00875F98" w:rsidP="00A663C9">
      <w:pPr>
        <w:rPr>
          <w:b/>
          <w:bCs/>
          <w:sz w:val="24"/>
          <w:szCs w:val="24"/>
        </w:rPr>
      </w:pPr>
    </w:p>
    <w:p w14:paraId="67D5E8F4" w14:textId="77777777" w:rsidR="00875F98" w:rsidRDefault="00875F98" w:rsidP="00A663C9">
      <w:pPr>
        <w:rPr>
          <w:b/>
          <w:bCs/>
          <w:sz w:val="24"/>
          <w:szCs w:val="24"/>
        </w:rPr>
      </w:pPr>
    </w:p>
    <w:p w14:paraId="6256AD50" w14:textId="77777777" w:rsidR="00875F98" w:rsidRDefault="00875F98" w:rsidP="00A663C9">
      <w:pPr>
        <w:rPr>
          <w:b/>
          <w:bCs/>
          <w:sz w:val="24"/>
          <w:szCs w:val="24"/>
        </w:rPr>
      </w:pPr>
    </w:p>
    <w:p w14:paraId="6B63AFB5" w14:textId="77777777" w:rsidR="00875F98" w:rsidRDefault="00875F98" w:rsidP="00A663C9">
      <w:pPr>
        <w:rPr>
          <w:b/>
          <w:bCs/>
          <w:sz w:val="24"/>
          <w:szCs w:val="24"/>
        </w:rPr>
      </w:pPr>
    </w:p>
    <w:p w14:paraId="63D6E0CA" w14:textId="77777777" w:rsidR="00875F98" w:rsidRDefault="00875F98" w:rsidP="00A663C9">
      <w:pPr>
        <w:rPr>
          <w:b/>
          <w:bCs/>
          <w:sz w:val="24"/>
          <w:szCs w:val="24"/>
        </w:rPr>
      </w:pPr>
    </w:p>
    <w:p w14:paraId="09CE0418" w14:textId="77777777" w:rsidR="00875F98" w:rsidRDefault="00875F98" w:rsidP="00A663C9">
      <w:pPr>
        <w:rPr>
          <w:b/>
          <w:bCs/>
          <w:sz w:val="24"/>
          <w:szCs w:val="24"/>
        </w:rPr>
      </w:pPr>
    </w:p>
    <w:p w14:paraId="24D75A80" w14:textId="77777777" w:rsidR="00875F98" w:rsidRDefault="00875F98" w:rsidP="00A663C9">
      <w:pPr>
        <w:rPr>
          <w:b/>
          <w:bCs/>
          <w:sz w:val="24"/>
          <w:szCs w:val="24"/>
        </w:rPr>
      </w:pPr>
    </w:p>
    <w:p w14:paraId="4338BE09" w14:textId="77777777" w:rsidR="00875F98" w:rsidRDefault="00875F98" w:rsidP="00A663C9">
      <w:pPr>
        <w:rPr>
          <w:b/>
          <w:bCs/>
          <w:sz w:val="24"/>
          <w:szCs w:val="24"/>
        </w:rPr>
      </w:pPr>
    </w:p>
    <w:p w14:paraId="75AD9AB9" w14:textId="77777777" w:rsidR="00875F98" w:rsidRDefault="00875F98" w:rsidP="00A663C9">
      <w:pPr>
        <w:rPr>
          <w:b/>
          <w:bCs/>
          <w:sz w:val="24"/>
          <w:szCs w:val="24"/>
        </w:rPr>
      </w:pPr>
    </w:p>
    <w:p w14:paraId="7B212418" w14:textId="77777777" w:rsidR="00875F98" w:rsidRDefault="00875F98" w:rsidP="00A663C9">
      <w:pPr>
        <w:rPr>
          <w:b/>
          <w:bCs/>
          <w:sz w:val="24"/>
          <w:szCs w:val="24"/>
        </w:rPr>
      </w:pPr>
    </w:p>
    <w:p w14:paraId="1F85F7B6" w14:textId="77777777" w:rsidR="00BD6EA8" w:rsidRDefault="00BD6EA8" w:rsidP="00A663C9">
      <w:pPr>
        <w:rPr>
          <w:b/>
          <w:bCs/>
          <w:sz w:val="24"/>
          <w:szCs w:val="24"/>
        </w:rPr>
      </w:pPr>
    </w:p>
    <w:p w14:paraId="0549476A" w14:textId="30A601AF" w:rsidR="00875F98" w:rsidRPr="00080A1C" w:rsidRDefault="00875F98" w:rsidP="00875F98">
      <w:pPr>
        <w:rPr>
          <w:b/>
          <w:bCs/>
          <w:sz w:val="24"/>
          <w:szCs w:val="24"/>
          <w:u w:val="single"/>
        </w:rPr>
      </w:pPr>
      <w:r w:rsidRPr="00080A1C">
        <w:rPr>
          <w:b/>
          <w:bCs/>
          <w:sz w:val="24"/>
          <w:szCs w:val="24"/>
          <w:u w:val="single"/>
        </w:rPr>
        <w:lastRenderedPageBreak/>
        <w:t>GESIDA-Documento-de-Consenso-sobre-la-Profilaxis-Posexposicion-Ocupacional-y-No-Ocupacional-al-VIH-VHB-y-VHC-en-Adultos-y-Ninos</w:t>
      </w:r>
    </w:p>
    <w:p w14:paraId="5C17C385" w14:textId="77777777" w:rsidR="00BA0762" w:rsidRPr="00BA0762" w:rsidRDefault="00BA0762" w:rsidP="00BA0762">
      <w:r w:rsidRPr="00BA0762">
        <w:t>Es la guía de actuación para prevenir la infección cuando una persona sana ha tenido una exposición de riesgo a estos virus (por ejemplo, pinchazos accidentales de sanitarios, relaciones sexuales sin protección o rotura de preservativo, agresiones sexuales o uso compartido de jeringuillas).</w:t>
      </w:r>
    </w:p>
    <w:p w14:paraId="2CB1B787" w14:textId="77777777" w:rsidR="00BA0762" w:rsidRPr="00BA0762" w:rsidRDefault="00BA0762" w:rsidP="00BA0762">
      <w:pPr>
        <w:rPr>
          <w:b/>
          <w:bCs/>
        </w:rPr>
      </w:pPr>
      <w:r w:rsidRPr="00BA0762">
        <w:rPr>
          <w:b/>
          <w:bCs/>
        </w:rPr>
        <w:t>1. La Ventana de Tiempo (Regla de Oro)</w:t>
      </w:r>
    </w:p>
    <w:p w14:paraId="38DA8FE2" w14:textId="77777777" w:rsidR="00BA0762" w:rsidRPr="00BA0762" w:rsidRDefault="00BA0762" w:rsidP="00BA0762">
      <w:r w:rsidRPr="00BA0762">
        <w:t>La PPE es una carrera contra el reloj, ya que el virus necesita tiempo para atravesar las mucosas y comenzar a replicarse.</w:t>
      </w:r>
    </w:p>
    <w:p w14:paraId="33CEA2C6" w14:textId="77777777" w:rsidR="00BA0762" w:rsidRPr="00BA0762" w:rsidRDefault="00BA0762" w:rsidP="00BA0762">
      <w:pPr>
        <w:numPr>
          <w:ilvl w:val="0"/>
          <w:numId w:val="42"/>
        </w:numPr>
      </w:pPr>
      <w:r w:rsidRPr="00BA0762">
        <w:rPr>
          <w:b/>
          <w:bCs/>
        </w:rPr>
        <w:t>Inicio:</w:t>
      </w:r>
      <w:r w:rsidRPr="00BA0762">
        <w:t xml:space="preserve"> Debe iniciarse lo antes posible, idealmente en las primeras 2 horas, preferiblemente en las primeras 12 horas, y </w:t>
      </w:r>
      <w:r w:rsidRPr="00BA0762">
        <w:rPr>
          <w:b/>
          <w:bCs/>
        </w:rPr>
        <w:t>siempre antes de las 72 horas</w:t>
      </w:r>
      <w:r w:rsidRPr="00BA0762">
        <w:t>.</w:t>
      </w:r>
    </w:p>
    <w:p w14:paraId="19475F52" w14:textId="77777777" w:rsidR="00BA0762" w:rsidRPr="00BA0762" w:rsidRDefault="00BA0762" w:rsidP="00BA0762">
      <w:pPr>
        <w:numPr>
          <w:ilvl w:val="0"/>
          <w:numId w:val="42"/>
        </w:numPr>
      </w:pPr>
      <w:r w:rsidRPr="00BA0762">
        <w:rPr>
          <w:b/>
          <w:bCs/>
        </w:rPr>
        <w:t>Límite:</w:t>
      </w:r>
      <w:r w:rsidRPr="00BA0762">
        <w:t xml:space="preserve"> Si han pasado más de 72 horas desde la exposición, no se recomienda iniciar la profilaxis frente al VIH.</w:t>
      </w:r>
    </w:p>
    <w:p w14:paraId="62209B03" w14:textId="77777777" w:rsidR="00BA0762" w:rsidRPr="00BA0762" w:rsidRDefault="00BA0762" w:rsidP="00BA0762">
      <w:pPr>
        <w:numPr>
          <w:ilvl w:val="0"/>
          <w:numId w:val="42"/>
        </w:numPr>
      </w:pPr>
      <w:r w:rsidRPr="00BA0762">
        <w:rPr>
          <w:b/>
          <w:bCs/>
        </w:rPr>
        <w:t>Duración:</w:t>
      </w:r>
      <w:r w:rsidRPr="00BA0762">
        <w:t xml:space="preserve"> El tratamiento preventivo dura exactamente 28 días.</w:t>
      </w:r>
    </w:p>
    <w:p w14:paraId="17E7B435" w14:textId="77777777" w:rsidR="00BA0762" w:rsidRPr="00BA0762" w:rsidRDefault="00BA0762" w:rsidP="00BA0762">
      <w:pPr>
        <w:rPr>
          <w:b/>
          <w:bCs/>
        </w:rPr>
      </w:pPr>
      <w:r w:rsidRPr="00BA0762">
        <w:rPr>
          <w:b/>
          <w:bCs/>
        </w:rPr>
        <w:t>2. Evaluación del Riesgo de Transmisión</w:t>
      </w:r>
    </w:p>
    <w:p w14:paraId="2EF9213C" w14:textId="77777777" w:rsidR="00BA0762" w:rsidRPr="00BA0762" w:rsidRDefault="00BA0762" w:rsidP="00BA0762">
      <w:r w:rsidRPr="00BA0762">
        <w:t>Antes de dar la medicación, el médico debe clasificar el riesgo evaluando el tipo de fluido, la vía de entrada y a la persona "fuente" (de la que procede el fluido).</w:t>
      </w:r>
    </w:p>
    <w:p w14:paraId="267CB551" w14:textId="77777777" w:rsidR="00BA0762" w:rsidRPr="00BA0762" w:rsidRDefault="00BA0762" w:rsidP="00BA0762">
      <w:pPr>
        <w:numPr>
          <w:ilvl w:val="0"/>
          <w:numId w:val="43"/>
        </w:numPr>
      </w:pPr>
      <w:r w:rsidRPr="00BA0762">
        <w:rPr>
          <w:b/>
          <w:bCs/>
        </w:rPr>
        <w:t>El factor Carga Viral (Indetectable = Intransmisible):</w:t>
      </w:r>
      <w:r w:rsidRPr="00BA0762">
        <w:t xml:space="preserve"> Existe evidencia suficiente para afirmar que el riesgo de transmisión del VIH a través de relaciones sexuales sin preservativo es nulo si la persona fuente recibe tratamiento y tiene una carga viral indetectable (menor de 200 copias/ml) durante al menos 6 meses. En estos casos, no se recomienda la PPE.</w:t>
      </w:r>
    </w:p>
    <w:p w14:paraId="1944B8F3" w14:textId="77777777" w:rsidR="00BA0762" w:rsidRPr="00BA0762" w:rsidRDefault="00BA0762" w:rsidP="00BA0762">
      <w:pPr>
        <w:numPr>
          <w:ilvl w:val="0"/>
          <w:numId w:val="43"/>
        </w:numPr>
      </w:pPr>
      <w:r w:rsidRPr="00BA0762">
        <w:rPr>
          <w:b/>
          <w:bCs/>
        </w:rPr>
        <w:t>Exposición Ocupacional (Sanitarios):</w:t>
      </w:r>
      <w:r w:rsidRPr="00BA0762">
        <w:t xml:space="preserve"> El riesgo medio tras pincharse con una aguja usada por un paciente con VIH sin tratamiento es del 0,3%. Si la aguja es hueca, el pinchazo es profundo o hay sangre visible, el riesgo es mayor.</w:t>
      </w:r>
    </w:p>
    <w:p w14:paraId="7C77F18E" w14:textId="77777777" w:rsidR="00BA0762" w:rsidRPr="00BA0762" w:rsidRDefault="00BA0762" w:rsidP="00BA0762">
      <w:pPr>
        <w:numPr>
          <w:ilvl w:val="0"/>
          <w:numId w:val="43"/>
        </w:numPr>
      </w:pPr>
      <w:r w:rsidRPr="00BA0762">
        <w:rPr>
          <w:b/>
          <w:bCs/>
        </w:rPr>
        <w:t>Exposición No Ocupacional (Sexual):</w:t>
      </w:r>
      <w:r w:rsidRPr="00BA0762">
        <w:t xml:space="preserve"> El sexo anal receptivo con eyaculación es la práctica de mayor riesgo. La agresión sexual se considera siempre una exposición de alto riesgo debido a los posibles traumatismos y lesiones en las mucosas.</w:t>
      </w:r>
    </w:p>
    <w:p w14:paraId="207AC608" w14:textId="77777777" w:rsidR="00BA0762" w:rsidRPr="00BA0762" w:rsidRDefault="00BA0762" w:rsidP="00BA0762">
      <w:pPr>
        <w:rPr>
          <w:b/>
          <w:bCs/>
        </w:rPr>
      </w:pPr>
      <w:r w:rsidRPr="00BA0762">
        <w:rPr>
          <w:b/>
          <w:bCs/>
        </w:rPr>
        <w:t>3. Pautas de Tratamiento (PPE frente al VIH)</w:t>
      </w:r>
    </w:p>
    <w:p w14:paraId="210BD4AF" w14:textId="77777777" w:rsidR="00BA0762" w:rsidRPr="00BA0762" w:rsidRDefault="00BA0762" w:rsidP="00BA0762">
      <w:r w:rsidRPr="00BA0762">
        <w:t>La guía recomienda el uso de terapias combinadas de tres fármacos para asegurar la máxima eficacia.</w:t>
      </w:r>
    </w:p>
    <w:p w14:paraId="5DEB04C1" w14:textId="77777777" w:rsidR="00BA0762" w:rsidRPr="00BA0762" w:rsidRDefault="00BA0762" w:rsidP="00BA0762">
      <w:pPr>
        <w:numPr>
          <w:ilvl w:val="0"/>
          <w:numId w:val="44"/>
        </w:numPr>
      </w:pPr>
      <w:r w:rsidRPr="00BA0762">
        <w:rPr>
          <w:b/>
          <w:bCs/>
        </w:rPr>
        <w:t>Pautas Preferentes:</w:t>
      </w:r>
      <w:r w:rsidRPr="00BA0762">
        <w:t xml:space="preserve"> Se basan en el uso de </w:t>
      </w:r>
      <w:proofErr w:type="spellStart"/>
      <w:r w:rsidRPr="00BA0762">
        <w:t>tenofovir</w:t>
      </w:r>
      <w:proofErr w:type="spellEnd"/>
      <w:r w:rsidRPr="00BA0762">
        <w:t xml:space="preserve"> </w:t>
      </w:r>
      <w:proofErr w:type="spellStart"/>
      <w:r w:rsidRPr="00BA0762">
        <w:t>disoproxil</w:t>
      </w:r>
      <w:proofErr w:type="spellEnd"/>
      <w:r w:rsidRPr="00BA0762">
        <w:t>/</w:t>
      </w:r>
      <w:proofErr w:type="spellStart"/>
      <w:r w:rsidRPr="00BA0762">
        <w:t>emtricitabina</w:t>
      </w:r>
      <w:proofErr w:type="spellEnd"/>
      <w:r w:rsidRPr="00BA0762">
        <w:t xml:space="preserve"> (TDF/FTC) combinados con un tercer fármaco, siendo de elección el </w:t>
      </w:r>
      <w:proofErr w:type="spellStart"/>
      <w:r w:rsidRPr="00BA0762">
        <w:rPr>
          <w:b/>
          <w:bCs/>
        </w:rPr>
        <w:t>raltegravir</w:t>
      </w:r>
      <w:proofErr w:type="spellEnd"/>
      <w:r w:rsidRPr="00BA0762">
        <w:rPr>
          <w:b/>
          <w:bCs/>
        </w:rPr>
        <w:t xml:space="preserve"> (RAL)</w:t>
      </w:r>
      <w:r w:rsidRPr="00BA0762">
        <w:t xml:space="preserve">, el </w:t>
      </w:r>
      <w:proofErr w:type="spellStart"/>
      <w:r w:rsidRPr="00BA0762">
        <w:rPr>
          <w:b/>
          <w:bCs/>
        </w:rPr>
        <w:t>dolutegravir</w:t>
      </w:r>
      <w:proofErr w:type="spellEnd"/>
      <w:r w:rsidRPr="00BA0762">
        <w:rPr>
          <w:b/>
          <w:bCs/>
        </w:rPr>
        <w:t xml:space="preserve"> (DTG)</w:t>
      </w:r>
      <w:r w:rsidRPr="00BA0762">
        <w:t xml:space="preserve"> o la </w:t>
      </w:r>
      <w:proofErr w:type="spellStart"/>
      <w:r w:rsidRPr="00BA0762">
        <w:rPr>
          <w:b/>
          <w:bCs/>
        </w:rPr>
        <w:t>doravirina</w:t>
      </w:r>
      <w:proofErr w:type="spellEnd"/>
      <w:r w:rsidRPr="00BA0762">
        <w:rPr>
          <w:b/>
          <w:bCs/>
        </w:rPr>
        <w:t xml:space="preserve"> (DOR)</w:t>
      </w:r>
      <w:r w:rsidRPr="00BA0762">
        <w:t>.</w:t>
      </w:r>
    </w:p>
    <w:p w14:paraId="1C224F62" w14:textId="77777777" w:rsidR="00BA0762" w:rsidRPr="00BA0762" w:rsidRDefault="00BA0762" w:rsidP="00BA0762">
      <w:pPr>
        <w:numPr>
          <w:ilvl w:val="0"/>
          <w:numId w:val="44"/>
        </w:numPr>
      </w:pPr>
      <w:r w:rsidRPr="00BA0762">
        <w:rPr>
          <w:b/>
          <w:bCs/>
        </w:rPr>
        <w:t>Embarazo:</w:t>
      </w:r>
      <w:r w:rsidRPr="00BA0762">
        <w:t xml:space="preserve"> La opción de elección y más segura en mujeres gestantes es la combinación de TDF/FTC con </w:t>
      </w:r>
      <w:proofErr w:type="spellStart"/>
      <w:r w:rsidRPr="00BA0762">
        <w:t>raltegravir</w:t>
      </w:r>
      <w:proofErr w:type="spellEnd"/>
      <w:r w:rsidRPr="00BA0762">
        <w:t>.</w:t>
      </w:r>
    </w:p>
    <w:p w14:paraId="30975958" w14:textId="77777777" w:rsidR="00E70EA4" w:rsidRDefault="00E70EA4" w:rsidP="00BA0762">
      <w:pPr>
        <w:rPr>
          <w:b/>
          <w:bCs/>
        </w:rPr>
      </w:pPr>
    </w:p>
    <w:p w14:paraId="1C4D13B1" w14:textId="77777777" w:rsidR="00E70EA4" w:rsidRDefault="00E70EA4" w:rsidP="00BA0762">
      <w:pPr>
        <w:rPr>
          <w:b/>
          <w:bCs/>
        </w:rPr>
      </w:pPr>
    </w:p>
    <w:p w14:paraId="6B4C3253" w14:textId="394B6421" w:rsidR="00BA0762" w:rsidRPr="00BA0762" w:rsidRDefault="00BA0762" w:rsidP="00BA0762">
      <w:pPr>
        <w:rPr>
          <w:b/>
          <w:bCs/>
        </w:rPr>
      </w:pPr>
      <w:r w:rsidRPr="00BA0762">
        <w:rPr>
          <w:b/>
          <w:bCs/>
        </w:rPr>
        <w:lastRenderedPageBreak/>
        <w:t>4. Actuación frente a las Hepatitis B y C</w:t>
      </w:r>
    </w:p>
    <w:p w14:paraId="65337E2E" w14:textId="77777777" w:rsidR="00BA0762" w:rsidRPr="00BA0762" w:rsidRDefault="00BA0762" w:rsidP="00BA0762">
      <w:r w:rsidRPr="00BA0762">
        <w:t>Dado que comparten las mismas vías de transmisión, siempre se debe evaluar el riesgo para VHB y VHC.</w:t>
      </w:r>
    </w:p>
    <w:p w14:paraId="037C9770" w14:textId="77777777" w:rsidR="00BA0762" w:rsidRPr="00BA0762" w:rsidRDefault="00BA0762" w:rsidP="00BA0762">
      <w:pPr>
        <w:numPr>
          <w:ilvl w:val="0"/>
          <w:numId w:val="45"/>
        </w:numPr>
      </w:pPr>
      <w:r w:rsidRPr="00BA0762">
        <w:rPr>
          <w:b/>
          <w:bCs/>
        </w:rPr>
        <w:t>Hepatitis B (VHB):</w:t>
      </w:r>
      <w:r w:rsidRPr="00BA0762">
        <w:t xml:space="preserve"> La actuación depende del estado de vacunación de la persona expuesta. Si no está vacunada o su respuesta a la vacuna fue insuficiente, y la fuente es positiva, se debe administrar urgentemente inmunoglobulina específica (</w:t>
      </w:r>
      <w:proofErr w:type="spellStart"/>
      <w:r w:rsidRPr="00BA0762">
        <w:t>IgHB</w:t>
      </w:r>
      <w:proofErr w:type="spellEnd"/>
      <w:r w:rsidRPr="00BA0762">
        <w:t>) y completar la pauta de vacunación.</w:t>
      </w:r>
    </w:p>
    <w:p w14:paraId="5DCA464E" w14:textId="77777777" w:rsidR="00BA0762" w:rsidRPr="00BA0762" w:rsidRDefault="00BA0762" w:rsidP="00BA0762">
      <w:pPr>
        <w:numPr>
          <w:ilvl w:val="0"/>
          <w:numId w:val="45"/>
        </w:numPr>
      </w:pPr>
      <w:r w:rsidRPr="00BA0762">
        <w:rPr>
          <w:b/>
          <w:bCs/>
        </w:rPr>
        <w:t>Hepatitis C (VHC):</w:t>
      </w:r>
      <w:r w:rsidRPr="00BA0762">
        <w:t xml:space="preserve"> </w:t>
      </w:r>
      <w:r w:rsidRPr="00BA0762">
        <w:rPr>
          <w:b/>
          <w:bCs/>
        </w:rPr>
        <w:t>No existe profilaxis (PPE) efectiva ni vacuna</w:t>
      </w:r>
      <w:r w:rsidRPr="00BA0762">
        <w:t xml:space="preserve"> frente al VHC. La estrategia consiste en realizar un seguimiento estrecho para diagnosticar la infección de forma temprana y, si ocurre, administrar rápidamente los modernos tratamientos antivirales de acción directa.</w:t>
      </w:r>
    </w:p>
    <w:p w14:paraId="33F7F507" w14:textId="77777777" w:rsidR="00BA0762" w:rsidRPr="00BA0762" w:rsidRDefault="00BA0762" w:rsidP="00BA0762">
      <w:pPr>
        <w:rPr>
          <w:b/>
          <w:bCs/>
        </w:rPr>
      </w:pPr>
      <w:r w:rsidRPr="00BA0762">
        <w:rPr>
          <w:b/>
          <w:bCs/>
        </w:rPr>
        <w:t>5. Escenarios de "No Recomendación" (Cuándo NO dar PPE)</w:t>
      </w:r>
    </w:p>
    <w:p w14:paraId="4A7FED73" w14:textId="77777777" w:rsidR="00BA0762" w:rsidRPr="00BA0762" w:rsidRDefault="00BA0762" w:rsidP="00BA0762">
      <w:r w:rsidRPr="00BA0762">
        <w:t xml:space="preserve">La guía dedica un capítulo a evitar la medicalización innecesaria si el riesgo de transmisión es insignificante (menor a 1 de cada 10.000). </w:t>
      </w:r>
      <w:r w:rsidRPr="00BA0762">
        <w:rPr>
          <w:b/>
          <w:bCs/>
        </w:rPr>
        <w:t>No se recomienda la PPE en:</w:t>
      </w:r>
    </w:p>
    <w:p w14:paraId="28C541CD" w14:textId="77777777" w:rsidR="00BA0762" w:rsidRPr="00BA0762" w:rsidRDefault="00BA0762" w:rsidP="00BA0762">
      <w:pPr>
        <w:numPr>
          <w:ilvl w:val="0"/>
          <w:numId w:val="46"/>
        </w:numPr>
      </w:pPr>
      <w:r w:rsidRPr="00BA0762">
        <w:t>Relaciones sexuales (cualquier modalidad) con una persona con VIH con carga viral indetectable documentada.</w:t>
      </w:r>
    </w:p>
    <w:p w14:paraId="327A13F7" w14:textId="77777777" w:rsidR="00BA0762" w:rsidRPr="00BA0762" w:rsidRDefault="00BA0762" w:rsidP="00BA0762">
      <w:pPr>
        <w:numPr>
          <w:ilvl w:val="0"/>
          <w:numId w:val="46"/>
        </w:numPr>
      </w:pPr>
      <w:r w:rsidRPr="00BA0762">
        <w:t>Prácticas de sexo oral (</w:t>
      </w:r>
      <w:proofErr w:type="spellStart"/>
      <w:r w:rsidRPr="00BA0762">
        <w:t>insertivo</w:t>
      </w:r>
      <w:proofErr w:type="spellEnd"/>
      <w:r w:rsidRPr="00BA0762">
        <w:t xml:space="preserve"> o receptivo) con la cavidad oral íntegra.</w:t>
      </w:r>
    </w:p>
    <w:p w14:paraId="105CB0F1" w14:textId="77777777" w:rsidR="00BA0762" w:rsidRPr="00BA0762" w:rsidRDefault="00BA0762" w:rsidP="00BA0762">
      <w:pPr>
        <w:numPr>
          <w:ilvl w:val="0"/>
          <w:numId w:val="46"/>
        </w:numPr>
      </w:pPr>
      <w:r w:rsidRPr="00BA0762">
        <w:t>Pinchazos accidentales en el ámbito comunitario (ej. con agujas abandonadas en la calle), ya que el virus no sobrevive bien en esas condiciones y el riesgo es bajísimo.</w:t>
      </w:r>
    </w:p>
    <w:p w14:paraId="4EFCC898" w14:textId="77777777" w:rsidR="00BA0762" w:rsidRPr="00BA0762" w:rsidRDefault="00BA0762" w:rsidP="00BA0762">
      <w:pPr>
        <w:numPr>
          <w:ilvl w:val="0"/>
          <w:numId w:val="46"/>
        </w:numPr>
      </w:pPr>
      <w:r w:rsidRPr="00BA0762">
        <w:t>Mordeduras humanas, salvo que la saliva tenga sangre visible, la herida sea profunda y la fuente tenga alta carga viral.</w:t>
      </w:r>
    </w:p>
    <w:p w14:paraId="52A84E27" w14:textId="77777777" w:rsidR="00BA0762" w:rsidRPr="00BA0762" w:rsidRDefault="00BA0762" w:rsidP="00BA0762">
      <w:pPr>
        <w:rPr>
          <w:b/>
          <w:bCs/>
        </w:rPr>
      </w:pPr>
      <w:r w:rsidRPr="00BA0762">
        <w:rPr>
          <w:b/>
          <w:bCs/>
        </w:rPr>
        <w:t>6. Seguimiento Analítico</w:t>
      </w:r>
    </w:p>
    <w:p w14:paraId="1DCB0D54" w14:textId="77777777" w:rsidR="00BA0762" w:rsidRPr="00BA0762" w:rsidRDefault="00BA0762" w:rsidP="00BA0762">
      <w:r w:rsidRPr="00BA0762">
        <w:t>A toda persona expuesta se le debe realizar una analítica basal urgente (VIH, VHB, VHC, función renal y hepática, y pruebas de embarazo en su caso).</w:t>
      </w:r>
    </w:p>
    <w:p w14:paraId="11CB1D38" w14:textId="77777777" w:rsidR="00BA0762" w:rsidRPr="00BA0762" w:rsidRDefault="00BA0762" w:rsidP="00BA0762">
      <w:pPr>
        <w:numPr>
          <w:ilvl w:val="0"/>
          <w:numId w:val="47"/>
        </w:numPr>
      </w:pPr>
      <w:r w:rsidRPr="00BA0762">
        <w:t xml:space="preserve">El seguimiento para el VIH finaliza a las </w:t>
      </w:r>
      <w:r w:rsidRPr="00BA0762">
        <w:rPr>
          <w:b/>
          <w:bCs/>
        </w:rPr>
        <w:t>12 semanas</w:t>
      </w:r>
      <w:r w:rsidRPr="00BA0762">
        <w:t xml:space="preserve"> si se utilizan pruebas de laboratorio modernas de 4ª generación (que detectan anticuerpos y antígeno p24).</w:t>
      </w:r>
    </w:p>
    <w:p w14:paraId="382CAEAF" w14:textId="77777777" w:rsidR="00BA0762" w:rsidRPr="00BA0762" w:rsidRDefault="00BA0762" w:rsidP="00BA0762">
      <w:pPr>
        <w:numPr>
          <w:ilvl w:val="0"/>
          <w:numId w:val="47"/>
        </w:numPr>
      </w:pPr>
      <w:r w:rsidRPr="00BA0762">
        <w:t xml:space="preserve">Es un momento clave para plantearle a la persona expuesta la posibilidad de enlazar el final de la PPE con el inicio de la </w:t>
      </w:r>
      <w:r w:rsidRPr="00BA0762">
        <w:rPr>
          <w:b/>
          <w:bCs/>
        </w:rPr>
        <w:t>PrEP (Profilaxis Preexposición)</w:t>
      </w:r>
      <w:r w:rsidRPr="00BA0762">
        <w:t xml:space="preserve"> para prevenir futuras infecciones.</w:t>
      </w:r>
    </w:p>
    <w:p w14:paraId="2272640E" w14:textId="5505D70C" w:rsidR="00875F98" w:rsidRDefault="00875F98" w:rsidP="00BA0762">
      <w:pPr>
        <w:ind w:left="360"/>
      </w:pPr>
    </w:p>
    <w:p w14:paraId="33A9087E" w14:textId="77777777" w:rsidR="00BA0762" w:rsidRDefault="00BA0762" w:rsidP="00BA0762">
      <w:pPr>
        <w:ind w:left="360"/>
      </w:pPr>
    </w:p>
    <w:p w14:paraId="7C7741F0" w14:textId="77777777" w:rsidR="00BA0762" w:rsidRDefault="00BA0762" w:rsidP="00BA0762">
      <w:pPr>
        <w:ind w:left="360"/>
      </w:pPr>
    </w:p>
    <w:p w14:paraId="04F7C907" w14:textId="77777777" w:rsidR="00BA0762" w:rsidRDefault="00BA0762" w:rsidP="00BA0762">
      <w:pPr>
        <w:ind w:left="360"/>
      </w:pPr>
    </w:p>
    <w:p w14:paraId="447B99A3" w14:textId="77777777" w:rsidR="00BA0762" w:rsidRDefault="00BA0762" w:rsidP="00BA0762">
      <w:pPr>
        <w:ind w:left="360"/>
      </w:pPr>
    </w:p>
    <w:p w14:paraId="3EDC1AB8" w14:textId="77777777" w:rsidR="00BA0762" w:rsidRDefault="00BA0762" w:rsidP="00A663C9"/>
    <w:p w14:paraId="5B8A7EEF" w14:textId="77777777" w:rsidR="00AF3B1B" w:rsidRDefault="00AF3B1B" w:rsidP="00A663C9">
      <w:pPr>
        <w:rPr>
          <w:b/>
          <w:bCs/>
          <w:sz w:val="24"/>
          <w:szCs w:val="24"/>
          <w:u w:val="single"/>
        </w:rPr>
      </w:pPr>
    </w:p>
    <w:p w14:paraId="16AF0A2A" w14:textId="1CF9EAE6" w:rsidR="00080A1C" w:rsidRPr="00BA0762" w:rsidRDefault="00080A1C" w:rsidP="00A663C9">
      <w:pPr>
        <w:rPr>
          <w:b/>
          <w:bCs/>
          <w:sz w:val="24"/>
          <w:szCs w:val="24"/>
          <w:u w:val="single"/>
        </w:rPr>
      </w:pPr>
      <w:r w:rsidRPr="00080A1C">
        <w:rPr>
          <w:b/>
          <w:bCs/>
          <w:sz w:val="24"/>
          <w:szCs w:val="24"/>
          <w:u w:val="single"/>
        </w:rPr>
        <w:lastRenderedPageBreak/>
        <w:t>GESIDA-Documento-de-Consenso-de-GeSIDA-y-la-Sociedad-Espanola-de-Medicina-Preventiva-Salud-Publica-y-Gestion-Sanitaria</w:t>
      </w:r>
    </w:p>
    <w:p w14:paraId="280C3263" w14:textId="77777777" w:rsidR="00BA0762" w:rsidRPr="00BA0762" w:rsidRDefault="00BA0762" w:rsidP="00BA0762">
      <w:r w:rsidRPr="00BA0762">
        <w:t>Su propósito es establecer las pautas clínicas actualizadas para proteger a los pacientes con VIH de enfermedades infecciosas prevenibles mediante vacunación.</w:t>
      </w:r>
    </w:p>
    <w:p w14:paraId="76F5BB88" w14:textId="77777777" w:rsidR="00BA0762" w:rsidRPr="00BA0762" w:rsidRDefault="00BA0762" w:rsidP="00BA0762">
      <w:r w:rsidRPr="00BA0762">
        <w:t>A continuación, te detallo la información esencial y las directrices clínicas de la guía:</w:t>
      </w:r>
    </w:p>
    <w:p w14:paraId="4C2839C1" w14:textId="77777777" w:rsidR="00BA0762" w:rsidRPr="00BA0762" w:rsidRDefault="00BA0762" w:rsidP="00BA0762">
      <w:pPr>
        <w:rPr>
          <w:b/>
          <w:bCs/>
        </w:rPr>
      </w:pPr>
      <w:r w:rsidRPr="00BA0762">
        <w:rPr>
          <w:b/>
          <w:bCs/>
        </w:rPr>
        <w:t>1. Reglas Inmunológicas Fundamentales</w:t>
      </w:r>
    </w:p>
    <w:p w14:paraId="3E3C89F0" w14:textId="77777777" w:rsidR="00BA0762" w:rsidRPr="00BA0762" w:rsidRDefault="00BA0762" w:rsidP="00BA0762">
      <w:r w:rsidRPr="00BA0762">
        <w:t>El estado inmunológico del paciente dicta qué vacunas puede recibir y cómo responderá a ellas:</w:t>
      </w:r>
    </w:p>
    <w:p w14:paraId="33849A73" w14:textId="77777777" w:rsidR="00BA0762" w:rsidRPr="00BA0762" w:rsidRDefault="00BA0762" w:rsidP="00BA0762">
      <w:pPr>
        <w:numPr>
          <w:ilvl w:val="0"/>
          <w:numId w:val="48"/>
        </w:numPr>
      </w:pPr>
      <w:r w:rsidRPr="00BA0762">
        <w:rPr>
          <w:b/>
          <w:bCs/>
        </w:rPr>
        <w:t>Vacunas Inactivadas:</w:t>
      </w:r>
      <w:r w:rsidRPr="00BA0762">
        <w:t xml:space="preserve"> Son seguras y se pueden administrar a personas con VIH (PVIH) independientemente de su nivel de linfocitos CD4+.</w:t>
      </w:r>
    </w:p>
    <w:p w14:paraId="0125F497" w14:textId="77777777" w:rsidR="00BA0762" w:rsidRPr="00BA0762" w:rsidRDefault="00BA0762" w:rsidP="00BA0762">
      <w:pPr>
        <w:numPr>
          <w:ilvl w:val="0"/>
          <w:numId w:val="48"/>
        </w:numPr>
      </w:pPr>
      <w:r w:rsidRPr="00BA0762">
        <w:rPr>
          <w:b/>
          <w:bCs/>
        </w:rPr>
        <w:t>Vacunas Vivas Atenuadas:</w:t>
      </w:r>
      <w:r w:rsidRPr="00BA0762">
        <w:t xml:space="preserve"> (Como la Triple Vírica, Varicela o Fiebre Amarilla). Están </w:t>
      </w:r>
      <w:r w:rsidRPr="00BA0762">
        <w:rPr>
          <w:b/>
          <w:bCs/>
        </w:rPr>
        <w:t>absolutamente contraindicadas</w:t>
      </w:r>
      <w:r w:rsidRPr="00BA0762">
        <w:t xml:space="preserve"> en PVIH con inmunodepresión severa, definida como un recuento de linfocitos T CD4+ inferior a 200 células/µL.</w:t>
      </w:r>
    </w:p>
    <w:p w14:paraId="2824EAEC" w14:textId="77777777" w:rsidR="00BA0762" w:rsidRPr="00BA0762" w:rsidRDefault="00BA0762" w:rsidP="00BA0762">
      <w:pPr>
        <w:numPr>
          <w:ilvl w:val="0"/>
          <w:numId w:val="48"/>
        </w:numPr>
      </w:pPr>
      <w:r w:rsidRPr="00BA0762">
        <w:rPr>
          <w:b/>
          <w:bCs/>
        </w:rPr>
        <w:t>Momento óptimo de vacunación:</w:t>
      </w:r>
      <w:r w:rsidRPr="00BA0762">
        <w:t xml:space="preserve"> Para asegurar una mejor respuesta inmunológica, lo ideal es vacunar cuando el paciente lleva al menos 6 meses con tratamiento antirretroviral (TAR) y tiene la carga viral suprimida a niveles indetectables.</w:t>
      </w:r>
    </w:p>
    <w:p w14:paraId="2B551DB4" w14:textId="77777777" w:rsidR="00BA0762" w:rsidRPr="00BA0762" w:rsidRDefault="00BA0762" w:rsidP="00BA0762">
      <w:pPr>
        <w:rPr>
          <w:b/>
          <w:bCs/>
        </w:rPr>
      </w:pPr>
      <w:r w:rsidRPr="00BA0762">
        <w:rPr>
          <w:b/>
          <w:bCs/>
        </w:rPr>
        <w:t>2. Pautas de Vacunación Específicas para PVIH</w:t>
      </w:r>
    </w:p>
    <w:p w14:paraId="7B6149AE" w14:textId="77777777" w:rsidR="00BA0762" w:rsidRPr="00BA0762" w:rsidRDefault="00BA0762" w:rsidP="00BA0762">
      <w:r w:rsidRPr="00BA0762">
        <w:t>Debido al daño en su sistema inmune, las PVIH a menudo requieren pautas reforzadas, más dosis, o indicaciones ampliadas en comparación con la población general.</w:t>
      </w:r>
    </w:p>
    <w:p w14:paraId="5E54A51D" w14:textId="77777777" w:rsidR="00BA0762" w:rsidRPr="00BA0762" w:rsidRDefault="00BA0762" w:rsidP="00BA0762">
      <w:r w:rsidRPr="00BA0762">
        <w:rPr>
          <w:b/>
          <w:bCs/>
        </w:rPr>
        <w:t>Vacunas Universales (Anuales):</w:t>
      </w:r>
    </w:p>
    <w:p w14:paraId="704F265E" w14:textId="77777777" w:rsidR="00BA0762" w:rsidRPr="00BA0762" w:rsidRDefault="00BA0762" w:rsidP="00BA0762">
      <w:pPr>
        <w:numPr>
          <w:ilvl w:val="0"/>
          <w:numId w:val="49"/>
        </w:numPr>
      </w:pPr>
      <w:r w:rsidRPr="00BA0762">
        <w:rPr>
          <w:b/>
          <w:bCs/>
        </w:rPr>
        <w:t>Gripe y COVID-19:</w:t>
      </w:r>
      <w:r w:rsidRPr="00BA0762">
        <w:t xml:space="preserve"> Se recomiendan anualmente para todas las PVIH, independientemente de su cifra de CD4+ o carga viral.</w:t>
      </w:r>
    </w:p>
    <w:p w14:paraId="277FE660" w14:textId="77777777" w:rsidR="00BA0762" w:rsidRPr="00BA0762" w:rsidRDefault="00BA0762" w:rsidP="00BA0762">
      <w:r w:rsidRPr="00BA0762">
        <w:rPr>
          <w:b/>
          <w:bCs/>
        </w:rPr>
        <w:t>Vacunas con Pautas Reforzadas:</w:t>
      </w:r>
    </w:p>
    <w:p w14:paraId="70B5BF06" w14:textId="77777777" w:rsidR="00BA0762" w:rsidRPr="00BA0762" w:rsidRDefault="00BA0762" w:rsidP="00BA0762">
      <w:pPr>
        <w:numPr>
          <w:ilvl w:val="0"/>
          <w:numId w:val="50"/>
        </w:numPr>
      </w:pPr>
      <w:r w:rsidRPr="00BA0762">
        <w:rPr>
          <w:b/>
          <w:bCs/>
        </w:rPr>
        <w:t>Hepatitis B:</w:t>
      </w:r>
      <w:r w:rsidRPr="00BA0762">
        <w:t xml:space="preserve"> La respuesta es menor en PVIH. Se exige una pauta reforzada de </w:t>
      </w:r>
      <w:r w:rsidRPr="00BA0762">
        <w:rPr>
          <w:b/>
          <w:bCs/>
        </w:rPr>
        <w:t>4 dosis</w:t>
      </w:r>
      <w:r w:rsidRPr="00BA0762">
        <w:t xml:space="preserve"> (0, 1, 2 y 6 meses) utilizando vacunas de </w:t>
      </w:r>
      <w:r w:rsidRPr="00BA0762">
        <w:rPr>
          <w:b/>
          <w:bCs/>
        </w:rPr>
        <w:t xml:space="preserve">alta carga antigénica o </w:t>
      </w:r>
      <w:proofErr w:type="spellStart"/>
      <w:r w:rsidRPr="00BA0762">
        <w:rPr>
          <w:b/>
          <w:bCs/>
        </w:rPr>
        <w:t>adyuvadas</w:t>
      </w:r>
      <w:proofErr w:type="spellEnd"/>
      <w:r w:rsidRPr="00BA0762">
        <w:t xml:space="preserve"> en pacientes inmunodeprimidos. Si los CD4+ son &gt;350 células/µL, una pauta clásica de 3 dosis puede ser suficiente.</w:t>
      </w:r>
    </w:p>
    <w:p w14:paraId="076E3455" w14:textId="77777777" w:rsidR="00BA0762" w:rsidRPr="00BA0762" w:rsidRDefault="00BA0762" w:rsidP="00BA0762">
      <w:pPr>
        <w:numPr>
          <w:ilvl w:val="0"/>
          <w:numId w:val="50"/>
        </w:numPr>
      </w:pPr>
      <w:r w:rsidRPr="00BA0762">
        <w:rPr>
          <w:b/>
          <w:bCs/>
        </w:rPr>
        <w:t>Hepatitis A:</w:t>
      </w:r>
      <w:r w:rsidRPr="00BA0762">
        <w:t xml:space="preserve"> Si el paciente no tiene anticuerpos, se vacuna. Si los CD4+ son &gt;350, se administran 2 dosis. Si los CD4+ son &lt;350, se exige una pauta de 3 dosis.</w:t>
      </w:r>
    </w:p>
    <w:p w14:paraId="29DA4AC4" w14:textId="77777777" w:rsidR="00BA0762" w:rsidRPr="00BA0762" w:rsidRDefault="00BA0762" w:rsidP="00BA0762">
      <w:pPr>
        <w:numPr>
          <w:ilvl w:val="0"/>
          <w:numId w:val="50"/>
        </w:numPr>
      </w:pPr>
      <w:r w:rsidRPr="00BA0762">
        <w:rPr>
          <w:b/>
          <w:bCs/>
        </w:rPr>
        <w:t>Papiloma Humano (VPH):</w:t>
      </w:r>
      <w:r w:rsidRPr="00BA0762">
        <w:t xml:space="preserve"> Las PVIH tienen mayor riesgo de infección persistente y cáncer. Se recomienda la vacunación sistemática en todas las PVIH </w:t>
      </w:r>
      <w:r w:rsidRPr="00BA0762">
        <w:rPr>
          <w:b/>
          <w:bCs/>
        </w:rPr>
        <w:t>hasta los 45 años</w:t>
      </w:r>
      <w:r w:rsidRPr="00BA0762">
        <w:t xml:space="preserve">. Se exige una pauta de </w:t>
      </w:r>
      <w:r w:rsidRPr="00BA0762">
        <w:rPr>
          <w:b/>
          <w:bCs/>
        </w:rPr>
        <w:t>3 dosis</w:t>
      </w:r>
      <w:r w:rsidRPr="00BA0762">
        <w:t xml:space="preserve"> (0, 2 y 6 meses), prefiriéndose la vacuna </w:t>
      </w:r>
      <w:proofErr w:type="spellStart"/>
      <w:r w:rsidRPr="00BA0762">
        <w:t>nonavalente</w:t>
      </w:r>
      <w:proofErr w:type="spellEnd"/>
      <w:r w:rsidRPr="00BA0762">
        <w:t>.</w:t>
      </w:r>
    </w:p>
    <w:p w14:paraId="36730949" w14:textId="77777777" w:rsidR="00BA0762" w:rsidRPr="00BA0762" w:rsidRDefault="00BA0762" w:rsidP="00BA0762">
      <w:pPr>
        <w:numPr>
          <w:ilvl w:val="0"/>
          <w:numId w:val="50"/>
        </w:numPr>
      </w:pPr>
      <w:r w:rsidRPr="00BA0762">
        <w:rPr>
          <w:b/>
          <w:bCs/>
        </w:rPr>
        <w:t>Herpes Zóster (HZ):</w:t>
      </w:r>
      <w:r w:rsidRPr="00BA0762">
        <w:t xml:space="preserve"> El riesgo de padecerlo es altísimo en PVIH. Se recomienda vacunar a todas las PVIH </w:t>
      </w:r>
      <w:r w:rsidRPr="00BA0762">
        <w:rPr>
          <w:b/>
          <w:bCs/>
        </w:rPr>
        <w:t>mayores de 18 años</w:t>
      </w:r>
      <w:r w:rsidRPr="00BA0762">
        <w:t xml:space="preserve"> usando la vacuna recombinante (HZ/su) con una pauta de 2 dosis.</w:t>
      </w:r>
    </w:p>
    <w:p w14:paraId="76380551" w14:textId="77777777" w:rsidR="00BA0762" w:rsidRPr="00BA0762" w:rsidRDefault="00BA0762" w:rsidP="00BA0762">
      <w:pPr>
        <w:numPr>
          <w:ilvl w:val="0"/>
          <w:numId w:val="50"/>
        </w:numPr>
      </w:pPr>
      <w:r w:rsidRPr="00BA0762">
        <w:rPr>
          <w:b/>
          <w:bCs/>
        </w:rPr>
        <w:t>Neumococo:</w:t>
      </w:r>
      <w:r w:rsidRPr="00BA0762">
        <w:t xml:space="preserve"> Recomendada universalmente. La pauta preferente actual es administrar una única dosis de la vacuna conjugada </w:t>
      </w:r>
      <w:r w:rsidRPr="00BA0762">
        <w:rPr>
          <w:b/>
          <w:bCs/>
        </w:rPr>
        <w:t>VNC20</w:t>
      </w:r>
      <w:r w:rsidRPr="00BA0762">
        <w:t xml:space="preserve"> (sin necesidad de dosis adicionales posteriores).</w:t>
      </w:r>
    </w:p>
    <w:p w14:paraId="5E30DF6C" w14:textId="77777777" w:rsidR="00BA0762" w:rsidRPr="00BA0762" w:rsidRDefault="00BA0762" w:rsidP="00BA0762">
      <w:pPr>
        <w:numPr>
          <w:ilvl w:val="0"/>
          <w:numId w:val="50"/>
        </w:numPr>
      </w:pPr>
      <w:r w:rsidRPr="00BA0762">
        <w:rPr>
          <w:b/>
          <w:bCs/>
        </w:rPr>
        <w:lastRenderedPageBreak/>
        <w:t>Meningococo:</w:t>
      </w:r>
      <w:r w:rsidRPr="00BA0762">
        <w:t xml:space="preserve"> Mayor riesgo de enfermedad invasora. Se recomienda vacunar con la vacuna conjugada tetravalente (ACWY) en pauta de </w:t>
      </w:r>
      <w:r w:rsidRPr="00BA0762">
        <w:rPr>
          <w:b/>
          <w:bCs/>
        </w:rPr>
        <w:t>2 dosis</w:t>
      </w:r>
      <w:r w:rsidRPr="00BA0762">
        <w:t xml:space="preserve"> (con recuerdo cada 5 años) y valorar también la vacuna frente al </w:t>
      </w:r>
      <w:proofErr w:type="spellStart"/>
      <w:r w:rsidRPr="00BA0762">
        <w:t>serogrupo</w:t>
      </w:r>
      <w:proofErr w:type="spellEnd"/>
      <w:r w:rsidRPr="00BA0762">
        <w:t xml:space="preserve"> B.</w:t>
      </w:r>
    </w:p>
    <w:p w14:paraId="13F81AC3" w14:textId="77777777" w:rsidR="00BA0762" w:rsidRPr="00BA0762" w:rsidRDefault="00BA0762" w:rsidP="00BA0762">
      <w:r w:rsidRPr="00BA0762">
        <w:rPr>
          <w:b/>
          <w:bCs/>
        </w:rPr>
        <w:t>Vacunas Vivas (Requieren CD4+ &gt; 200):</w:t>
      </w:r>
    </w:p>
    <w:p w14:paraId="30276D3A" w14:textId="77777777" w:rsidR="00BA0762" w:rsidRPr="00BA0762" w:rsidRDefault="00BA0762" w:rsidP="00BA0762">
      <w:pPr>
        <w:numPr>
          <w:ilvl w:val="0"/>
          <w:numId w:val="51"/>
        </w:numPr>
      </w:pPr>
      <w:r w:rsidRPr="00BA0762">
        <w:rPr>
          <w:b/>
          <w:bCs/>
        </w:rPr>
        <w:t>Triple Vírica (Sarampión, Rubeola, Parotiditis) y Varicela:</w:t>
      </w:r>
      <w:r w:rsidRPr="00BA0762">
        <w:t xml:space="preserve"> Solo se administran (en pautas de 2 dosis) si el paciente carece de inmunidad previa y su recuento de CD4+ se mantiene &gt;200 células/µL.</w:t>
      </w:r>
    </w:p>
    <w:p w14:paraId="7396215C" w14:textId="77777777" w:rsidR="00BA0762" w:rsidRPr="00BA0762" w:rsidRDefault="00BA0762" w:rsidP="00BA0762">
      <w:r w:rsidRPr="00BA0762">
        <w:rPr>
          <w:b/>
          <w:bCs/>
        </w:rPr>
        <w:t>Otras Vacunas Específicas:</w:t>
      </w:r>
    </w:p>
    <w:p w14:paraId="618AB7B6" w14:textId="77777777" w:rsidR="00BA0762" w:rsidRPr="00BA0762" w:rsidRDefault="00BA0762" w:rsidP="00BA0762">
      <w:pPr>
        <w:numPr>
          <w:ilvl w:val="0"/>
          <w:numId w:val="52"/>
        </w:numPr>
      </w:pPr>
      <w:r w:rsidRPr="00BA0762">
        <w:rPr>
          <w:b/>
          <w:bCs/>
        </w:rPr>
        <w:t>Virus Respiratorio Sincitial (VRS):</w:t>
      </w:r>
      <w:r w:rsidRPr="00BA0762">
        <w:t xml:space="preserve"> Recomendada a partir de los 60 años.</w:t>
      </w:r>
    </w:p>
    <w:p w14:paraId="21B6B389" w14:textId="77777777" w:rsidR="00BA0762" w:rsidRPr="00BA0762" w:rsidRDefault="00BA0762" w:rsidP="00BA0762">
      <w:pPr>
        <w:numPr>
          <w:ilvl w:val="0"/>
          <w:numId w:val="52"/>
        </w:numPr>
      </w:pPr>
      <w:r w:rsidRPr="00BA0762">
        <w:rPr>
          <w:b/>
          <w:bCs/>
        </w:rPr>
        <w:t>Mpox:</w:t>
      </w:r>
      <w:r w:rsidRPr="00BA0762">
        <w:t xml:space="preserve"> Recomendada (2 dosis) para PVIH mayores de 18 años con prácticas sexuales de riesgo (profilaxis preexposición) o contactos estrechos de un caso (profilaxis </w:t>
      </w:r>
      <w:proofErr w:type="spellStart"/>
      <w:r w:rsidRPr="00BA0762">
        <w:t>posexposición</w:t>
      </w:r>
      <w:proofErr w:type="spellEnd"/>
      <w:r w:rsidRPr="00BA0762">
        <w:t>).</w:t>
      </w:r>
    </w:p>
    <w:p w14:paraId="79125041" w14:textId="77777777" w:rsidR="00BA0762" w:rsidRPr="00BA0762" w:rsidRDefault="00BA0762" w:rsidP="00BA0762">
      <w:pPr>
        <w:rPr>
          <w:b/>
          <w:bCs/>
        </w:rPr>
      </w:pPr>
      <w:r w:rsidRPr="00BA0762">
        <w:rPr>
          <w:b/>
          <w:bCs/>
        </w:rPr>
        <w:t>3. Situaciones Clínicas Especiales</w:t>
      </w:r>
    </w:p>
    <w:p w14:paraId="4E9DC460" w14:textId="77777777" w:rsidR="00BA0762" w:rsidRPr="00BA0762" w:rsidRDefault="00BA0762" w:rsidP="00BA0762">
      <w:pPr>
        <w:numPr>
          <w:ilvl w:val="0"/>
          <w:numId w:val="53"/>
        </w:numPr>
      </w:pPr>
      <w:r w:rsidRPr="00BA0762">
        <w:rPr>
          <w:b/>
          <w:bCs/>
        </w:rPr>
        <w:t>Embarazo:</w:t>
      </w:r>
      <w:r w:rsidRPr="00BA0762">
        <w:t xml:space="preserve"> Durante la gestación están </w:t>
      </w:r>
      <w:r w:rsidRPr="00BA0762">
        <w:rPr>
          <w:b/>
          <w:bCs/>
        </w:rPr>
        <w:t>contraindicadas todas las vacunas vivas</w:t>
      </w:r>
      <w:r w:rsidRPr="00BA0762">
        <w:t xml:space="preserve">. Por el contrario, se considera seguro y está indicado administrar vacunas inactivadas, recomendándose expresamente poner las vacunas de la gripe, COVID-19, </w:t>
      </w:r>
      <w:proofErr w:type="spellStart"/>
      <w:r w:rsidRPr="00BA0762">
        <w:t>dTpa</w:t>
      </w:r>
      <w:proofErr w:type="spellEnd"/>
      <w:r w:rsidRPr="00BA0762">
        <w:t xml:space="preserve"> (tos ferina) y VRS durante el embarazo.</w:t>
      </w:r>
    </w:p>
    <w:p w14:paraId="15836CF8" w14:textId="77777777" w:rsidR="00BA0762" w:rsidRPr="00BA0762" w:rsidRDefault="00BA0762" w:rsidP="00BA0762">
      <w:pPr>
        <w:numPr>
          <w:ilvl w:val="0"/>
          <w:numId w:val="53"/>
        </w:numPr>
      </w:pPr>
      <w:r w:rsidRPr="00BA0762">
        <w:rPr>
          <w:b/>
          <w:bCs/>
        </w:rPr>
        <w:t>Viajeros Internacionales:</w:t>
      </w:r>
      <w:r w:rsidRPr="00BA0762">
        <w:t xml:space="preserve"> Las necesidades pueden ser superiores. Siguen las mismas reglas de CD4. Por ejemplo, la vacuna de la fiebre amarilla (viva) está contraindicada si los CD4+ &lt; 200.</w:t>
      </w:r>
    </w:p>
    <w:p w14:paraId="6DF8349E" w14:textId="77777777" w:rsidR="00BA0762" w:rsidRPr="00BA0762" w:rsidRDefault="00BA0762" w:rsidP="00BA0762">
      <w:pPr>
        <w:numPr>
          <w:ilvl w:val="0"/>
          <w:numId w:val="53"/>
        </w:numPr>
      </w:pPr>
      <w:r w:rsidRPr="00BA0762">
        <w:rPr>
          <w:b/>
          <w:bCs/>
        </w:rPr>
        <w:t>Convivientes:</w:t>
      </w:r>
      <w:r w:rsidRPr="00BA0762">
        <w:t xml:space="preserve"> La guía hace hincapié en que todas las personas que convivan con una PVIH deben estar vacunadas (frente a gripe, COVID-19, triple vírica, varicela y </w:t>
      </w:r>
      <w:proofErr w:type="spellStart"/>
      <w:r w:rsidRPr="00BA0762">
        <w:t>dTpa</w:t>
      </w:r>
      <w:proofErr w:type="spellEnd"/>
      <w:r w:rsidRPr="00BA0762">
        <w:t>) para crear un entorno seguro y evitar transmitirle infecciones al paciente.</w:t>
      </w:r>
    </w:p>
    <w:p w14:paraId="6E191751" w14:textId="77777777" w:rsidR="00875F98" w:rsidRDefault="00875F98" w:rsidP="00A663C9">
      <w:pPr>
        <w:rPr>
          <w:b/>
          <w:bCs/>
          <w:sz w:val="24"/>
          <w:szCs w:val="24"/>
        </w:rPr>
      </w:pPr>
    </w:p>
    <w:p w14:paraId="4DAB494E" w14:textId="77777777" w:rsidR="00875F98" w:rsidRDefault="00875F98" w:rsidP="00A663C9">
      <w:pPr>
        <w:rPr>
          <w:b/>
          <w:bCs/>
          <w:sz w:val="24"/>
          <w:szCs w:val="24"/>
        </w:rPr>
      </w:pPr>
    </w:p>
    <w:p w14:paraId="5C33CE55" w14:textId="77777777" w:rsidR="00BD6EA8" w:rsidRDefault="00BD6EA8" w:rsidP="00A663C9">
      <w:pPr>
        <w:rPr>
          <w:b/>
          <w:bCs/>
          <w:sz w:val="24"/>
          <w:szCs w:val="24"/>
        </w:rPr>
      </w:pPr>
    </w:p>
    <w:p w14:paraId="336583A6" w14:textId="77777777" w:rsidR="00BA0762" w:rsidRDefault="00BA0762" w:rsidP="00A663C9">
      <w:pPr>
        <w:rPr>
          <w:b/>
          <w:bCs/>
          <w:sz w:val="24"/>
          <w:szCs w:val="24"/>
          <w:u w:val="single"/>
        </w:rPr>
      </w:pPr>
    </w:p>
    <w:p w14:paraId="1B634364" w14:textId="77777777" w:rsidR="00BA0762" w:rsidRDefault="00BA0762" w:rsidP="00A663C9">
      <w:pPr>
        <w:rPr>
          <w:b/>
          <w:bCs/>
          <w:sz w:val="24"/>
          <w:szCs w:val="24"/>
          <w:u w:val="single"/>
        </w:rPr>
      </w:pPr>
    </w:p>
    <w:p w14:paraId="58EB03DE" w14:textId="77777777" w:rsidR="00BA0762" w:rsidRDefault="00BA0762" w:rsidP="00A663C9">
      <w:pPr>
        <w:rPr>
          <w:b/>
          <w:bCs/>
          <w:sz w:val="24"/>
          <w:szCs w:val="24"/>
          <w:u w:val="single"/>
        </w:rPr>
      </w:pPr>
    </w:p>
    <w:p w14:paraId="6141D764" w14:textId="77777777" w:rsidR="00BA0762" w:rsidRDefault="00BA0762" w:rsidP="00A663C9">
      <w:pPr>
        <w:rPr>
          <w:b/>
          <w:bCs/>
          <w:sz w:val="24"/>
          <w:szCs w:val="24"/>
          <w:u w:val="single"/>
        </w:rPr>
      </w:pPr>
    </w:p>
    <w:p w14:paraId="7B886070" w14:textId="77777777" w:rsidR="00BA0762" w:rsidRDefault="00BA0762" w:rsidP="00A663C9">
      <w:pPr>
        <w:rPr>
          <w:b/>
          <w:bCs/>
          <w:sz w:val="24"/>
          <w:szCs w:val="24"/>
          <w:u w:val="single"/>
        </w:rPr>
      </w:pPr>
    </w:p>
    <w:p w14:paraId="2F08748A" w14:textId="77777777" w:rsidR="00BA0762" w:rsidRDefault="00BA0762" w:rsidP="00A663C9">
      <w:pPr>
        <w:rPr>
          <w:b/>
          <w:bCs/>
          <w:sz w:val="24"/>
          <w:szCs w:val="24"/>
          <w:u w:val="single"/>
        </w:rPr>
      </w:pPr>
    </w:p>
    <w:p w14:paraId="361D36EF" w14:textId="77777777" w:rsidR="00BA0762" w:rsidRDefault="00BA0762" w:rsidP="00A663C9">
      <w:pPr>
        <w:rPr>
          <w:b/>
          <w:bCs/>
          <w:sz w:val="24"/>
          <w:szCs w:val="24"/>
          <w:u w:val="single"/>
        </w:rPr>
      </w:pPr>
    </w:p>
    <w:p w14:paraId="17520B4F" w14:textId="1FF28677" w:rsidR="00BD6EA8" w:rsidRDefault="00BD6EA8" w:rsidP="00A663C9">
      <w:pPr>
        <w:rPr>
          <w:b/>
          <w:bCs/>
          <w:sz w:val="24"/>
          <w:szCs w:val="24"/>
          <w:u w:val="single"/>
        </w:rPr>
      </w:pPr>
      <w:r w:rsidRPr="00BD6EA8">
        <w:rPr>
          <w:b/>
          <w:bCs/>
          <w:sz w:val="24"/>
          <w:szCs w:val="24"/>
          <w:u w:val="single"/>
        </w:rPr>
        <w:t>gesidadcyrc2013-ManejoclinicodelasalteracionesNC</w:t>
      </w:r>
    </w:p>
    <w:p w14:paraId="4CBAE21B" w14:textId="77777777" w:rsidR="005C71E9" w:rsidRPr="005C71E9" w:rsidRDefault="005C71E9" w:rsidP="005C71E9">
      <w:r w:rsidRPr="005C71E9">
        <w:lastRenderedPageBreak/>
        <w:t>Su objetivo principal es proporcionar pautas para detectar, diagnosticar y tratar las complicaciones cognitivas que afectan a los pacientes con VIH.</w:t>
      </w:r>
    </w:p>
    <w:p w14:paraId="49AB2028" w14:textId="77777777" w:rsidR="005C71E9" w:rsidRPr="005C71E9" w:rsidRDefault="005C71E9" w:rsidP="005C71E9">
      <w:pPr>
        <w:rPr>
          <w:b/>
          <w:bCs/>
        </w:rPr>
      </w:pPr>
      <w:r w:rsidRPr="005C71E9">
        <w:rPr>
          <w:b/>
          <w:bCs/>
        </w:rPr>
        <w:t>1. Clasificación de los Trastornos (HAND)</w:t>
      </w:r>
    </w:p>
    <w:p w14:paraId="44FD6C9B" w14:textId="77777777" w:rsidR="005C71E9" w:rsidRPr="005C71E9" w:rsidRDefault="005C71E9" w:rsidP="005C71E9">
      <w:r w:rsidRPr="005C71E9">
        <w:t>La guía utiliza los criterios de Frascati para clasificar el espectro de afectación en tres categorías según su gravedad y el impacto en la vida diaria:</w:t>
      </w:r>
    </w:p>
    <w:p w14:paraId="493C5A7D" w14:textId="77777777" w:rsidR="005C71E9" w:rsidRPr="005C71E9" w:rsidRDefault="005C71E9" w:rsidP="005C71E9">
      <w:pPr>
        <w:numPr>
          <w:ilvl w:val="0"/>
          <w:numId w:val="11"/>
        </w:numPr>
      </w:pPr>
      <w:r w:rsidRPr="005C71E9">
        <w:t xml:space="preserve">Alteración Neurocognitiva Asintomática (ANI): El paciente rinde por debajo de lo esperado en los </w:t>
      </w:r>
      <w:proofErr w:type="spellStart"/>
      <w:r w:rsidRPr="005C71E9">
        <w:t>tests</w:t>
      </w:r>
      <w:proofErr w:type="spellEnd"/>
      <w:r w:rsidRPr="005C71E9">
        <w:t xml:space="preserve"> neuropsicológicos (al menos en dos dominios cognitivos), pero no presenta dificultades en sus actividades cotidianas.</w:t>
      </w:r>
    </w:p>
    <w:p w14:paraId="2B6841A2" w14:textId="77777777" w:rsidR="005C71E9" w:rsidRPr="005C71E9" w:rsidRDefault="005C71E9" w:rsidP="005C71E9">
      <w:pPr>
        <w:numPr>
          <w:ilvl w:val="0"/>
          <w:numId w:val="11"/>
        </w:numPr>
      </w:pPr>
      <w:r w:rsidRPr="005C71E9">
        <w:t>Trastorno Neurocognitivo Leve (MND): Existe un déficit cognitivo similar al anterior, pero el paciente o sus allegados notan una interferencia leve en actividades diarias complejas (trabajo, manejo de dinero, etc.).</w:t>
      </w:r>
    </w:p>
    <w:p w14:paraId="59AA9D9F" w14:textId="77777777" w:rsidR="005C71E9" w:rsidRPr="005C71E9" w:rsidRDefault="005C71E9" w:rsidP="005C71E9">
      <w:pPr>
        <w:numPr>
          <w:ilvl w:val="0"/>
          <w:numId w:val="11"/>
        </w:numPr>
      </w:pPr>
      <w:r w:rsidRPr="005C71E9">
        <w:t>Demencia Asociada al VIH (HAD): Es el grado más severo, con un deterioro cognitivo marcado que produce un impacto significativo y limitante en la autonomía del paciente.</w:t>
      </w:r>
    </w:p>
    <w:p w14:paraId="016DB854" w14:textId="77777777" w:rsidR="005C71E9" w:rsidRPr="005C71E9" w:rsidRDefault="005C71E9" w:rsidP="005C71E9">
      <w:pPr>
        <w:rPr>
          <w:b/>
          <w:bCs/>
        </w:rPr>
      </w:pPr>
      <w:r w:rsidRPr="005C71E9">
        <w:rPr>
          <w:b/>
          <w:bCs/>
        </w:rPr>
        <w:t>2. Cribado y Detección</w:t>
      </w:r>
    </w:p>
    <w:p w14:paraId="694520A4" w14:textId="77777777" w:rsidR="005C71E9" w:rsidRPr="005C71E9" w:rsidRDefault="005C71E9" w:rsidP="005C71E9">
      <w:r w:rsidRPr="005C71E9">
        <w:t>La guía enfatiza que la detección temprana es fundamental, ya que muchos casos son asintomáticos.</w:t>
      </w:r>
    </w:p>
    <w:p w14:paraId="1C022147" w14:textId="77777777" w:rsidR="005C71E9" w:rsidRPr="005C71E9" w:rsidRDefault="005C71E9" w:rsidP="005C71E9">
      <w:pPr>
        <w:numPr>
          <w:ilvl w:val="0"/>
          <w:numId w:val="12"/>
        </w:numPr>
      </w:pPr>
      <w:r w:rsidRPr="005C71E9">
        <w:t>Población objetivo: Se recomienda realizar un cribado a todos los pacientes con VIH, especialmente al diagnóstico, antes de iniciar el tratamiento y si aparecen quejas cognitivas o síntomas sugestivos.</w:t>
      </w:r>
    </w:p>
    <w:p w14:paraId="18C35CBD" w14:textId="77777777" w:rsidR="005C71E9" w:rsidRPr="005C71E9" w:rsidRDefault="005C71E9" w:rsidP="005C71E9">
      <w:pPr>
        <w:numPr>
          <w:ilvl w:val="0"/>
          <w:numId w:val="12"/>
        </w:numPr>
      </w:pPr>
      <w:r w:rsidRPr="005C71E9">
        <w:t xml:space="preserve">Herramientas: Se proponen escalas rápidas de cribado como la Escala Internacional de Demencia del VIH (IHDS) o baterías breves de </w:t>
      </w:r>
      <w:proofErr w:type="spellStart"/>
      <w:r w:rsidRPr="005C71E9">
        <w:t>tests</w:t>
      </w:r>
      <w:proofErr w:type="spellEnd"/>
      <w:r w:rsidRPr="005C71E9">
        <w:t>.</w:t>
      </w:r>
    </w:p>
    <w:p w14:paraId="147AADA5" w14:textId="4A9FCE81" w:rsidR="005C71E9" w:rsidRPr="005C71E9" w:rsidRDefault="005C71E9" w:rsidP="005C71E9">
      <w:pPr>
        <w:numPr>
          <w:ilvl w:val="0"/>
          <w:numId w:val="12"/>
        </w:numPr>
      </w:pPr>
      <w:r w:rsidRPr="005C71E9">
        <w:t xml:space="preserve">Factores de corrección: Los resultados de los </w:t>
      </w:r>
      <w:proofErr w:type="spellStart"/>
      <w:r w:rsidRPr="005C71E9">
        <w:t>tests</w:t>
      </w:r>
      <w:proofErr w:type="spellEnd"/>
      <w:r w:rsidRPr="005C71E9">
        <w:t xml:space="preserve"> deben interpretarse siempre teniendo en cuenta la edad y el nivel de escolaridad del paciente, ya que estos factores influyen directamente en las puntuaciones obtenidas.</w:t>
      </w:r>
    </w:p>
    <w:p w14:paraId="61F865B1" w14:textId="2AD04F30" w:rsidR="005C71E9" w:rsidRPr="005C71E9" w:rsidRDefault="005C71E9" w:rsidP="005C71E9">
      <w:pPr>
        <w:rPr>
          <w:b/>
          <w:bCs/>
        </w:rPr>
      </w:pPr>
      <w:r w:rsidRPr="005C71E9">
        <w:rPr>
          <w:b/>
          <w:bCs/>
        </w:rPr>
        <w:t xml:space="preserve">3. Diagnóstico y Factores </w:t>
      </w:r>
      <w:proofErr w:type="spellStart"/>
      <w:r w:rsidRPr="005C71E9">
        <w:rPr>
          <w:b/>
          <w:bCs/>
        </w:rPr>
        <w:t>Confusores</w:t>
      </w:r>
      <w:proofErr w:type="spellEnd"/>
    </w:p>
    <w:p w14:paraId="11622FDD" w14:textId="77777777" w:rsidR="005C71E9" w:rsidRPr="005C71E9" w:rsidRDefault="005C71E9" w:rsidP="005C71E9">
      <w:r w:rsidRPr="005C71E9">
        <w:t>Para diagnosticar formalmente un trastorno neurocognitivo asociado al VIH, es obligatorio descartar otras causas que puedan explicar los síntomas:</w:t>
      </w:r>
    </w:p>
    <w:p w14:paraId="7ED2EEB9" w14:textId="77777777" w:rsidR="005C71E9" w:rsidRPr="005C71E9" w:rsidRDefault="005C71E9" w:rsidP="005C71E9">
      <w:pPr>
        <w:numPr>
          <w:ilvl w:val="0"/>
          <w:numId w:val="13"/>
        </w:numPr>
      </w:pPr>
      <w:r w:rsidRPr="005C71E9">
        <w:t>Causas secundarias: Descartar infecciones oportunistas del sistema nervioso central, tumores, o efectos de otras patologías (hepatitis C, déficit de vitamina B12, sífilis, etc.).</w:t>
      </w:r>
    </w:p>
    <w:p w14:paraId="7D1D2D4F" w14:textId="77777777" w:rsidR="005C71E9" w:rsidRPr="005C71E9" w:rsidRDefault="005C71E9" w:rsidP="005C71E9">
      <w:pPr>
        <w:numPr>
          <w:ilvl w:val="0"/>
          <w:numId w:val="13"/>
        </w:numPr>
      </w:pPr>
      <w:r w:rsidRPr="005C71E9">
        <w:t>Trastornos afectivos: Es crucial diferenciar el deterioro cognitivo de cuadros de depresión o ansiedad, que son muy comunes en personas con VIH y pueden mimetizar problemas de memoria o concentración.</w:t>
      </w:r>
    </w:p>
    <w:p w14:paraId="63602483" w14:textId="77777777" w:rsidR="005C71E9" w:rsidRPr="005C71E9" w:rsidRDefault="005C71E9" w:rsidP="005C71E9">
      <w:pPr>
        <w:numPr>
          <w:ilvl w:val="0"/>
          <w:numId w:val="13"/>
        </w:numPr>
      </w:pPr>
      <w:r w:rsidRPr="005C71E9">
        <w:t>Consumo de sustancias: Evaluar el impacto del consumo activo de alcohol o drogas recreativas.</w:t>
      </w:r>
    </w:p>
    <w:p w14:paraId="7A659652" w14:textId="77777777" w:rsidR="005C71E9" w:rsidRPr="005C71E9" w:rsidRDefault="005C71E9" w:rsidP="005C71E9">
      <w:pPr>
        <w:rPr>
          <w:b/>
          <w:bCs/>
        </w:rPr>
      </w:pPr>
      <w:r w:rsidRPr="005C71E9">
        <w:rPr>
          <w:b/>
          <w:bCs/>
        </w:rPr>
        <w:t>4. Manejo y Tratamiento</w:t>
      </w:r>
    </w:p>
    <w:p w14:paraId="2644B4BD" w14:textId="77777777" w:rsidR="005C71E9" w:rsidRPr="005C71E9" w:rsidRDefault="005C71E9" w:rsidP="005C71E9">
      <w:r w:rsidRPr="005C71E9">
        <w:t>El pilar fundamental es el control de la infección mediante el Tratamiento Antirretroviral (TAR).</w:t>
      </w:r>
    </w:p>
    <w:p w14:paraId="34D66E55" w14:textId="77777777" w:rsidR="005C71E9" w:rsidRPr="005C71E9" w:rsidRDefault="005C71E9" w:rsidP="005C71E9">
      <w:pPr>
        <w:numPr>
          <w:ilvl w:val="0"/>
          <w:numId w:val="14"/>
        </w:numPr>
      </w:pPr>
      <w:r w:rsidRPr="005C71E9">
        <w:lastRenderedPageBreak/>
        <w:t>Objetivo virológico: Lograr una carga viral indetectable tanto en sangre como, idealmente, en el líquido cefalorraquídeo.</w:t>
      </w:r>
    </w:p>
    <w:p w14:paraId="21538B26" w14:textId="77777777" w:rsidR="005C71E9" w:rsidRPr="005C71E9" w:rsidRDefault="005C71E9" w:rsidP="005C71E9">
      <w:pPr>
        <w:numPr>
          <w:ilvl w:val="0"/>
          <w:numId w:val="14"/>
        </w:numPr>
      </w:pPr>
      <w:r w:rsidRPr="005C71E9">
        <w:t>Puntuación CPE: La guía menciona el uso del sistema de puntuación de penetración en el sistema nervioso central (CPE). No todos los fármacos llegan igual de bien al cerebro; por ello, en pacientes con afectación cognitiva, se puede valorar la elección de fármacos con mayor capacidad de penetración.</w:t>
      </w:r>
    </w:p>
    <w:p w14:paraId="1D0DE33C" w14:textId="77777777" w:rsidR="005C71E9" w:rsidRPr="005C71E9" w:rsidRDefault="005C71E9" w:rsidP="005C71E9">
      <w:pPr>
        <w:numPr>
          <w:ilvl w:val="0"/>
          <w:numId w:val="14"/>
        </w:numPr>
      </w:pPr>
      <w:r w:rsidRPr="005C71E9">
        <w:t>Control de comorbilidades: El manejo de los factores de riesgo cardiovascular (hipertensión, diabetes, dislipemia) es esencial, ya que el daño vascular cerebral agrava los trastornos cognitivos del VIH.</w:t>
      </w:r>
    </w:p>
    <w:p w14:paraId="38D331A4" w14:textId="77777777" w:rsidR="005C71E9" w:rsidRPr="005C71E9" w:rsidRDefault="005C71E9" w:rsidP="005C71E9">
      <w:pPr>
        <w:rPr>
          <w:b/>
          <w:bCs/>
        </w:rPr>
      </w:pPr>
      <w:r w:rsidRPr="005C71E9">
        <w:rPr>
          <w:b/>
          <w:bCs/>
        </w:rPr>
        <w:t>5. Seguimiento</w:t>
      </w:r>
    </w:p>
    <w:p w14:paraId="192426F0" w14:textId="77777777" w:rsidR="005C71E9" w:rsidRPr="005C71E9" w:rsidRDefault="005C71E9" w:rsidP="005C71E9">
      <w:pPr>
        <w:numPr>
          <w:ilvl w:val="0"/>
          <w:numId w:val="15"/>
        </w:numPr>
      </w:pPr>
      <w:r w:rsidRPr="005C71E9">
        <w:t>Se recomienda una reevaluación periódica. Si un paciente estable presenta un empeoramiento cognitivo, se debe investigar si hay un fallo del tratamiento (escape virológico) en el sistema nervioso central, incluso si el virus está controlado en la sangre.</w:t>
      </w:r>
    </w:p>
    <w:p w14:paraId="5D9AA87C" w14:textId="77777777" w:rsidR="00BD6EA8" w:rsidRDefault="00BD6EA8" w:rsidP="00A663C9">
      <w:pPr>
        <w:rPr>
          <w:b/>
          <w:bCs/>
          <w:sz w:val="24"/>
          <w:szCs w:val="24"/>
        </w:rPr>
      </w:pPr>
    </w:p>
    <w:p w14:paraId="6A5EDC4E" w14:textId="77777777" w:rsidR="005C71E9" w:rsidRDefault="005C71E9" w:rsidP="00A663C9">
      <w:pPr>
        <w:rPr>
          <w:b/>
          <w:bCs/>
          <w:sz w:val="24"/>
          <w:szCs w:val="24"/>
        </w:rPr>
      </w:pPr>
    </w:p>
    <w:p w14:paraId="4B294DF2" w14:textId="77777777" w:rsidR="005C71E9" w:rsidRDefault="005C71E9" w:rsidP="00A663C9">
      <w:pPr>
        <w:rPr>
          <w:b/>
          <w:bCs/>
          <w:sz w:val="24"/>
          <w:szCs w:val="24"/>
        </w:rPr>
      </w:pPr>
    </w:p>
    <w:p w14:paraId="3C9564C4" w14:textId="77777777" w:rsidR="005C71E9" w:rsidRDefault="005C71E9" w:rsidP="00A663C9">
      <w:pPr>
        <w:rPr>
          <w:b/>
          <w:bCs/>
          <w:sz w:val="24"/>
          <w:szCs w:val="24"/>
        </w:rPr>
      </w:pPr>
    </w:p>
    <w:p w14:paraId="35373977" w14:textId="77777777" w:rsidR="005C71E9" w:rsidRDefault="005C71E9" w:rsidP="00A663C9">
      <w:pPr>
        <w:rPr>
          <w:b/>
          <w:bCs/>
          <w:sz w:val="24"/>
          <w:szCs w:val="24"/>
        </w:rPr>
      </w:pPr>
    </w:p>
    <w:p w14:paraId="138F4708" w14:textId="77777777" w:rsidR="005C71E9" w:rsidRDefault="005C71E9" w:rsidP="00A663C9">
      <w:pPr>
        <w:rPr>
          <w:b/>
          <w:bCs/>
          <w:sz w:val="24"/>
          <w:szCs w:val="24"/>
        </w:rPr>
      </w:pPr>
    </w:p>
    <w:p w14:paraId="1A7DD68E" w14:textId="77777777" w:rsidR="005C71E9" w:rsidRDefault="005C71E9" w:rsidP="00A663C9">
      <w:pPr>
        <w:rPr>
          <w:b/>
          <w:bCs/>
          <w:sz w:val="24"/>
          <w:szCs w:val="24"/>
        </w:rPr>
      </w:pPr>
    </w:p>
    <w:p w14:paraId="5EB0F547" w14:textId="77777777" w:rsidR="005C71E9" w:rsidRDefault="005C71E9" w:rsidP="00A663C9">
      <w:pPr>
        <w:rPr>
          <w:b/>
          <w:bCs/>
          <w:sz w:val="24"/>
          <w:szCs w:val="24"/>
        </w:rPr>
      </w:pPr>
    </w:p>
    <w:p w14:paraId="39BC0B20" w14:textId="77777777" w:rsidR="005C71E9" w:rsidRDefault="005C71E9" w:rsidP="00A663C9">
      <w:pPr>
        <w:rPr>
          <w:b/>
          <w:bCs/>
          <w:sz w:val="24"/>
          <w:szCs w:val="24"/>
        </w:rPr>
      </w:pPr>
    </w:p>
    <w:p w14:paraId="6C11432D" w14:textId="77777777" w:rsidR="005C71E9" w:rsidRDefault="005C71E9" w:rsidP="00A663C9">
      <w:pPr>
        <w:rPr>
          <w:b/>
          <w:bCs/>
          <w:sz w:val="24"/>
          <w:szCs w:val="24"/>
        </w:rPr>
      </w:pPr>
    </w:p>
    <w:p w14:paraId="73C31CC3" w14:textId="77777777" w:rsidR="005C71E9" w:rsidRDefault="005C71E9" w:rsidP="00A663C9">
      <w:pPr>
        <w:rPr>
          <w:b/>
          <w:bCs/>
          <w:sz w:val="24"/>
          <w:szCs w:val="24"/>
        </w:rPr>
      </w:pPr>
    </w:p>
    <w:p w14:paraId="0EB5CB68" w14:textId="77777777" w:rsidR="005C71E9" w:rsidRDefault="005C71E9" w:rsidP="00A663C9">
      <w:pPr>
        <w:rPr>
          <w:b/>
          <w:bCs/>
          <w:sz w:val="24"/>
          <w:szCs w:val="24"/>
        </w:rPr>
      </w:pPr>
    </w:p>
    <w:p w14:paraId="5F92405D" w14:textId="77777777" w:rsidR="005C71E9" w:rsidRDefault="005C71E9" w:rsidP="00A663C9">
      <w:pPr>
        <w:rPr>
          <w:b/>
          <w:bCs/>
          <w:sz w:val="24"/>
          <w:szCs w:val="24"/>
        </w:rPr>
      </w:pPr>
    </w:p>
    <w:p w14:paraId="32344081" w14:textId="77777777" w:rsidR="005C71E9" w:rsidRDefault="005C71E9" w:rsidP="00A663C9">
      <w:pPr>
        <w:rPr>
          <w:b/>
          <w:bCs/>
          <w:sz w:val="24"/>
          <w:szCs w:val="24"/>
        </w:rPr>
      </w:pPr>
    </w:p>
    <w:p w14:paraId="77CDE545" w14:textId="77777777" w:rsidR="005C71E9" w:rsidRDefault="005C71E9" w:rsidP="00A663C9">
      <w:pPr>
        <w:rPr>
          <w:b/>
          <w:bCs/>
          <w:sz w:val="24"/>
          <w:szCs w:val="24"/>
        </w:rPr>
      </w:pPr>
    </w:p>
    <w:p w14:paraId="57974C6A" w14:textId="77777777" w:rsidR="005C71E9" w:rsidRDefault="005C71E9" w:rsidP="00A663C9">
      <w:pPr>
        <w:rPr>
          <w:b/>
          <w:bCs/>
          <w:sz w:val="24"/>
          <w:szCs w:val="24"/>
        </w:rPr>
      </w:pPr>
    </w:p>
    <w:p w14:paraId="6852DDBB" w14:textId="77777777" w:rsidR="005C71E9" w:rsidRDefault="005C71E9" w:rsidP="00A663C9">
      <w:pPr>
        <w:rPr>
          <w:b/>
          <w:bCs/>
          <w:sz w:val="24"/>
          <w:szCs w:val="24"/>
        </w:rPr>
      </w:pPr>
    </w:p>
    <w:p w14:paraId="06558313" w14:textId="77777777" w:rsidR="005C71E9" w:rsidRDefault="005C71E9" w:rsidP="00A663C9">
      <w:pPr>
        <w:rPr>
          <w:b/>
          <w:bCs/>
          <w:sz w:val="24"/>
          <w:szCs w:val="24"/>
        </w:rPr>
      </w:pPr>
    </w:p>
    <w:p w14:paraId="18275D9C" w14:textId="77777777" w:rsidR="005C71E9" w:rsidRDefault="005C71E9" w:rsidP="00A663C9">
      <w:pPr>
        <w:rPr>
          <w:b/>
          <w:bCs/>
          <w:sz w:val="24"/>
          <w:szCs w:val="24"/>
        </w:rPr>
      </w:pPr>
    </w:p>
    <w:p w14:paraId="3C6BE454" w14:textId="300276BD" w:rsidR="005C71E9" w:rsidRDefault="002135E4" w:rsidP="00A663C9">
      <w:pPr>
        <w:rPr>
          <w:b/>
          <w:bCs/>
          <w:sz w:val="24"/>
          <w:szCs w:val="24"/>
          <w:u w:val="single"/>
        </w:rPr>
      </w:pPr>
      <w:proofErr w:type="spellStart"/>
      <w:r w:rsidRPr="002135E4">
        <w:rPr>
          <w:b/>
          <w:bCs/>
          <w:sz w:val="24"/>
          <w:szCs w:val="24"/>
          <w:u w:val="single"/>
        </w:rPr>
        <w:lastRenderedPageBreak/>
        <w:t>gesida_VIH_embarazo</w:t>
      </w:r>
      <w:proofErr w:type="spellEnd"/>
    </w:p>
    <w:p w14:paraId="400B65E8" w14:textId="77777777" w:rsidR="002135E4" w:rsidRPr="002135E4" w:rsidRDefault="002135E4" w:rsidP="002135E4">
      <w:r w:rsidRPr="002135E4">
        <w:t>Su objetivo principal es eliminar la transmisión del VIH de madre a hijo y garantizar la salud de ambos.</w:t>
      </w:r>
    </w:p>
    <w:p w14:paraId="1B0761EB" w14:textId="77777777" w:rsidR="002135E4" w:rsidRPr="002135E4" w:rsidRDefault="002135E4" w:rsidP="002135E4">
      <w:pPr>
        <w:rPr>
          <w:b/>
          <w:bCs/>
        </w:rPr>
      </w:pPr>
      <w:r w:rsidRPr="002135E4">
        <w:rPr>
          <w:b/>
          <w:bCs/>
        </w:rPr>
        <w:t>1. Deseo Reproductivo y Preconcepción</w:t>
      </w:r>
    </w:p>
    <w:p w14:paraId="05443470" w14:textId="77777777" w:rsidR="002135E4" w:rsidRPr="002135E4" w:rsidRDefault="002135E4" w:rsidP="002135E4">
      <w:pPr>
        <w:numPr>
          <w:ilvl w:val="0"/>
          <w:numId w:val="16"/>
        </w:numPr>
      </w:pPr>
      <w:r w:rsidRPr="002135E4">
        <w:t>Asesoramiento: Se debe evaluar el deseo reproductivo en todas las personas con VIH de forma rutinaria.</w:t>
      </w:r>
    </w:p>
    <w:p w14:paraId="249C6BC7" w14:textId="77777777" w:rsidR="002135E4" w:rsidRPr="002135E4" w:rsidRDefault="002135E4" w:rsidP="002135E4">
      <w:pPr>
        <w:numPr>
          <w:ilvl w:val="0"/>
          <w:numId w:val="16"/>
        </w:numPr>
      </w:pPr>
      <w:r w:rsidRPr="002135E4">
        <w:t>Optimización: El objetivo principal antes de la concepción es que la madre tenga una carga viral indetectable y un buen estado inmunológico.</w:t>
      </w:r>
    </w:p>
    <w:p w14:paraId="1FDF88E3" w14:textId="77777777" w:rsidR="002135E4" w:rsidRPr="002135E4" w:rsidRDefault="002135E4" w:rsidP="002135E4">
      <w:pPr>
        <w:numPr>
          <w:ilvl w:val="0"/>
          <w:numId w:val="16"/>
        </w:numPr>
      </w:pPr>
      <w:r w:rsidRPr="002135E4">
        <w:t xml:space="preserve">Técnicas de concepción: Si ambos miembros de la pareja tienen carga viral suprimida, el riesgo de transmisión es prácticamente nulo, permitiendo la concepción natural. Si no es así, se valoran técnicas de reproducción asistida o profilaxis </w:t>
      </w:r>
      <w:proofErr w:type="spellStart"/>
      <w:r w:rsidRPr="002135E4">
        <w:t>pre-exposición</w:t>
      </w:r>
      <w:proofErr w:type="spellEnd"/>
      <w:r w:rsidRPr="002135E4">
        <w:t xml:space="preserve"> (PrEP) para el miembro no infectado.</w:t>
      </w:r>
    </w:p>
    <w:p w14:paraId="5D932CE7" w14:textId="77777777" w:rsidR="002135E4" w:rsidRPr="002135E4" w:rsidRDefault="002135E4" w:rsidP="002135E4">
      <w:pPr>
        <w:rPr>
          <w:b/>
          <w:bCs/>
        </w:rPr>
      </w:pPr>
      <w:r w:rsidRPr="002135E4">
        <w:rPr>
          <w:b/>
          <w:bCs/>
        </w:rPr>
        <w:t>2. Manejo durante el Embarazo</w:t>
      </w:r>
    </w:p>
    <w:p w14:paraId="722E7BD9" w14:textId="77777777" w:rsidR="002135E4" w:rsidRPr="002135E4" w:rsidRDefault="002135E4" w:rsidP="002135E4">
      <w:pPr>
        <w:numPr>
          <w:ilvl w:val="0"/>
          <w:numId w:val="17"/>
        </w:numPr>
      </w:pPr>
      <w:r w:rsidRPr="002135E4">
        <w:t>Tratamiento Antirretroviral (TAR): Se recomienda que todas las embarazadas con VIH reciban TAR, independientemente de su situación inmunológica o virológica previa.</w:t>
      </w:r>
    </w:p>
    <w:p w14:paraId="7C521D2E" w14:textId="77777777" w:rsidR="002135E4" w:rsidRPr="002135E4" w:rsidRDefault="002135E4" w:rsidP="002135E4">
      <w:pPr>
        <w:numPr>
          <w:ilvl w:val="0"/>
          <w:numId w:val="17"/>
        </w:numPr>
      </w:pPr>
      <w:r w:rsidRPr="002135E4">
        <w:t>Objetivo virológico: Lograr una carga viral indetectable lo antes posible para minimizar el riesgo de transmisión vertical.</w:t>
      </w:r>
    </w:p>
    <w:p w14:paraId="75365688" w14:textId="77777777" w:rsidR="002135E4" w:rsidRPr="002135E4" w:rsidRDefault="002135E4" w:rsidP="002135E4">
      <w:pPr>
        <w:numPr>
          <w:ilvl w:val="0"/>
          <w:numId w:val="17"/>
        </w:numPr>
      </w:pPr>
      <w:r w:rsidRPr="002135E4">
        <w:t>Seguimiento: Se realizan controles de carga viral plasmática con mayor frecuencia, especialmente en el tercer trimestre (semanas 34-36), para decidir la vía del parto.</w:t>
      </w:r>
    </w:p>
    <w:p w14:paraId="40A2A41B" w14:textId="77777777" w:rsidR="002135E4" w:rsidRPr="002135E4" w:rsidRDefault="002135E4" w:rsidP="002135E4">
      <w:pPr>
        <w:numPr>
          <w:ilvl w:val="0"/>
          <w:numId w:val="17"/>
        </w:numPr>
      </w:pPr>
      <w:r w:rsidRPr="002135E4">
        <w:t>Seguridad: Se deben evitar fármacos con potencial teratogénico (daño al feto), aunque la mayoría de las pautas actuales son seguras.</w:t>
      </w:r>
    </w:p>
    <w:p w14:paraId="3A7E6DA9" w14:textId="77777777" w:rsidR="002135E4" w:rsidRPr="002135E4" w:rsidRDefault="002135E4" w:rsidP="002135E4">
      <w:pPr>
        <w:rPr>
          <w:b/>
          <w:bCs/>
        </w:rPr>
      </w:pPr>
      <w:r w:rsidRPr="002135E4">
        <w:rPr>
          <w:b/>
          <w:bCs/>
        </w:rPr>
        <w:t>3. El Parto (Vía de Finalización)</w:t>
      </w:r>
    </w:p>
    <w:p w14:paraId="1F41BBAC" w14:textId="77777777" w:rsidR="002135E4" w:rsidRPr="002135E4" w:rsidRDefault="002135E4" w:rsidP="002135E4">
      <w:r w:rsidRPr="002135E4">
        <w:t>La decisión sobre cómo nacerá el bebé depende casi exclusivamente de la carga viral de la madre cerca del momento del parto:</w:t>
      </w:r>
    </w:p>
    <w:p w14:paraId="37C96FB4" w14:textId="77777777" w:rsidR="002135E4" w:rsidRPr="002135E4" w:rsidRDefault="002135E4" w:rsidP="002135E4">
      <w:pPr>
        <w:numPr>
          <w:ilvl w:val="0"/>
          <w:numId w:val="18"/>
        </w:numPr>
      </w:pPr>
      <w:r w:rsidRPr="002135E4">
        <w:t>Parto Vaginal: Es la opción preferente si la carga viral es indetectable (menor de 50 copias/</w:t>
      </w:r>
      <w:proofErr w:type="spellStart"/>
      <w:r w:rsidRPr="002135E4">
        <w:t>mL</w:t>
      </w:r>
      <w:proofErr w:type="spellEnd"/>
      <w:r w:rsidRPr="002135E4">
        <w:t>) en la semana 34-36 y no hay contraindicaciones obstétricas.</w:t>
      </w:r>
    </w:p>
    <w:p w14:paraId="45CF2B66" w14:textId="77777777" w:rsidR="002135E4" w:rsidRPr="002135E4" w:rsidRDefault="002135E4" w:rsidP="002135E4">
      <w:pPr>
        <w:numPr>
          <w:ilvl w:val="0"/>
          <w:numId w:val="18"/>
        </w:numPr>
      </w:pPr>
      <w:r w:rsidRPr="002135E4">
        <w:t>Cesárea Electiva: Se recomienda si la carga viral es superior a 1.000 copias/</w:t>
      </w:r>
      <w:proofErr w:type="spellStart"/>
      <w:r w:rsidRPr="002135E4">
        <w:t>mL</w:t>
      </w:r>
      <w:proofErr w:type="spellEnd"/>
      <w:r w:rsidRPr="002135E4">
        <w:t xml:space="preserve"> o desconocida al final del embarazo. Entre 50 y 1.000 copias, la decisión se individualiza.</w:t>
      </w:r>
    </w:p>
    <w:p w14:paraId="37C0CE2F" w14:textId="77777777" w:rsidR="002135E4" w:rsidRPr="002135E4" w:rsidRDefault="002135E4" w:rsidP="002135E4">
      <w:pPr>
        <w:numPr>
          <w:ilvl w:val="0"/>
          <w:numId w:val="18"/>
        </w:numPr>
      </w:pPr>
      <w:r w:rsidRPr="002135E4">
        <w:t xml:space="preserve">Profilaxis Intraparto: Se administra </w:t>
      </w:r>
      <w:proofErr w:type="spellStart"/>
      <w:r w:rsidRPr="002135E4">
        <w:t>Zidovudine</w:t>
      </w:r>
      <w:proofErr w:type="spellEnd"/>
      <w:r w:rsidRPr="002135E4">
        <w:t xml:space="preserve"> (AZT) intravenoso durante el parto o cesárea si la carga viral es detectable (&gt;50 copias/</w:t>
      </w:r>
      <w:proofErr w:type="spellStart"/>
      <w:r w:rsidRPr="002135E4">
        <w:t>mL</w:t>
      </w:r>
      <w:proofErr w:type="spellEnd"/>
      <w:r w:rsidRPr="002135E4">
        <w:t>).</w:t>
      </w:r>
    </w:p>
    <w:p w14:paraId="3F9F2E1E" w14:textId="77777777" w:rsidR="002135E4" w:rsidRDefault="002135E4" w:rsidP="002135E4">
      <w:pPr>
        <w:rPr>
          <w:b/>
          <w:bCs/>
        </w:rPr>
      </w:pPr>
    </w:p>
    <w:p w14:paraId="4C4F532A" w14:textId="77777777" w:rsidR="002135E4" w:rsidRDefault="002135E4" w:rsidP="002135E4">
      <w:pPr>
        <w:rPr>
          <w:b/>
          <w:bCs/>
        </w:rPr>
      </w:pPr>
    </w:p>
    <w:p w14:paraId="2DD9065D" w14:textId="77777777" w:rsidR="002135E4" w:rsidRDefault="002135E4" w:rsidP="002135E4">
      <w:pPr>
        <w:rPr>
          <w:b/>
          <w:bCs/>
        </w:rPr>
      </w:pPr>
    </w:p>
    <w:p w14:paraId="1C4537F1" w14:textId="77777777" w:rsidR="002135E4" w:rsidRDefault="002135E4" w:rsidP="002135E4">
      <w:pPr>
        <w:rPr>
          <w:b/>
          <w:bCs/>
        </w:rPr>
      </w:pPr>
    </w:p>
    <w:p w14:paraId="146EC46B" w14:textId="77777777" w:rsidR="002135E4" w:rsidRDefault="002135E4" w:rsidP="002135E4">
      <w:pPr>
        <w:rPr>
          <w:b/>
          <w:bCs/>
        </w:rPr>
      </w:pPr>
    </w:p>
    <w:p w14:paraId="47D90416" w14:textId="77777777" w:rsidR="002135E4" w:rsidRDefault="002135E4" w:rsidP="002135E4">
      <w:pPr>
        <w:rPr>
          <w:b/>
          <w:bCs/>
        </w:rPr>
      </w:pPr>
    </w:p>
    <w:p w14:paraId="7AB2AAA7" w14:textId="7871FBE2" w:rsidR="002135E4" w:rsidRPr="002135E4" w:rsidRDefault="002135E4" w:rsidP="002135E4">
      <w:pPr>
        <w:rPr>
          <w:b/>
          <w:bCs/>
        </w:rPr>
      </w:pPr>
      <w:r w:rsidRPr="002135E4">
        <w:rPr>
          <w:b/>
          <w:bCs/>
        </w:rPr>
        <w:lastRenderedPageBreak/>
        <w:t>4. Profilaxis y Cuidado del Recién Nacido</w:t>
      </w:r>
    </w:p>
    <w:p w14:paraId="3349B0BF" w14:textId="77777777" w:rsidR="002135E4" w:rsidRPr="002135E4" w:rsidRDefault="002135E4" w:rsidP="002135E4">
      <w:pPr>
        <w:numPr>
          <w:ilvl w:val="0"/>
          <w:numId w:val="19"/>
        </w:numPr>
      </w:pPr>
      <w:r w:rsidRPr="002135E4">
        <w:t>Tratamiento preventivo: Todos los recién nacidos expuestos deben recibir profilaxis antirretroviral (generalmente AZT) iniciada en las primeras 6-12 horas de vida. La duración y el número de fármacos dependen del riesgo de transmisión (determinado por la carga viral materna).</w:t>
      </w:r>
    </w:p>
    <w:p w14:paraId="2D0E4E67" w14:textId="77777777" w:rsidR="002135E4" w:rsidRPr="002135E4" w:rsidRDefault="002135E4" w:rsidP="002135E4">
      <w:pPr>
        <w:numPr>
          <w:ilvl w:val="0"/>
          <w:numId w:val="19"/>
        </w:numPr>
      </w:pPr>
      <w:r w:rsidRPr="002135E4">
        <w:t>Lactancia: En España, se mantiene la recomendación de evitar la lactancia materna y sustituirla por lactancia artificial para eliminar cualquier riesgo residual de transmisión posparto.</w:t>
      </w:r>
    </w:p>
    <w:p w14:paraId="18E2960B" w14:textId="77777777" w:rsidR="002135E4" w:rsidRPr="002135E4" w:rsidRDefault="002135E4" w:rsidP="002135E4">
      <w:pPr>
        <w:numPr>
          <w:ilvl w:val="0"/>
          <w:numId w:val="19"/>
        </w:numPr>
        <w:rPr>
          <w:b/>
          <w:bCs/>
        </w:rPr>
      </w:pPr>
      <w:r w:rsidRPr="002135E4">
        <w:rPr>
          <w:b/>
          <w:bCs/>
        </w:rPr>
        <w:t>Diagnóstico precoz: Se realizan pruebas de PCR al bebé (no anticuerpos, ya que estos pasan de la madre) en momentos específicos: al nacer, al mes, a los 3 meses y confirmación final a los 18 meses.</w:t>
      </w:r>
    </w:p>
    <w:p w14:paraId="55F3B353" w14:textId="77777777" w:rsidR="002135E4" w:rsidRDefault="002135E4" w:rsidP="00A663C9">
      <w:pPr>
        <w:rPr>
          <w:b/>
          <w:bCs/>
          <w:sz w:val="24"/>
          <w:szCs w:val="24"/>
        </w:rPr>
      </w:pPr>
    </w:p>
    <w:p w14:paraId="756FB490" w14:textId="77777777" w:rsidR="002135E4" w:rsidRDefault="002135E4" w:rsidP="00A663C9">
      <w:pPr>
        <w:rPr>
          <w:b/>
          <w:bCs/>
          <w:sz w:val="24"/>
          <w:szCs w:val="24"/>
        </w:rPr>
      </w:pPr>
    </w:p>
    <w:p w14:paraId="0E60D2D0" w14:textId="77777777" w:rsidR="002135E4" w:rsidRDefault="002135E4" w:rsidP="00A663C9">
      <w:pPr>
        <w:rPr>
          <w:b/>
          <w:bCs/>
          <w:sz w:val="24"/>
          <w:szCs w:val="24"/>
        </w:rPr>
      </w:pPr>
    </w:p>
    <w:p w14:paraId="6E416C29" w14:textId="77777777" w:rsidR="002135E4" w:rsidRDefault="002135E4" w:rsidP="00A663C9">
      <w:pPr>
        <w:rPr>
          <w:b/>
          <w:bCs/>
          <w:sz w:val="24"/>
          <w:szCs w:val="24"/>
        </w:rPr>
      </w:pPr>
    </w:p>
    <w:p w14:paraId="35AEE687" w14:textId="77777777" w:rsidR="002135E4" w:rsidRDefault="002135E4" w:rsidP="00A663C9">
      <w:pPr>
        <w:rPr>
          <w:b/>
          <w:bCs/>
          <w:sz w:val="24"/>
          <w:szCs w:val="24"/>
        </w:rPr>
      </w:pPr>
    </w:p>
    <w:p w14:paraId="40232013" w14:textId="77777777" w:rsidR="002135E4" w:rsidRDefault="002135E4" w:rsidP="00A663C9">
      <w:pPr>
        <w:rPr>
          <w:b/>
          <w:bCs/>
          <w:sz w:val="24"/>
          <w:szCs w:val="24"/>
        </w:rPr>
      </w:pPr>
    </w:p>
    <w:p w14:paraId="6E187938" w14:textId="77777777" w:rsidR="002135E4" w:rsidRDefault="002135E4" w:rsidP="00A663C9">
      <w:pPr>
        <w:rPr>
          <w:b/>
          <w:bCs/>
          <w:sz w:val="24"/>
          <w:szCs w:val="24"/>
        </w:rPr>
      </w:pPr>
    </w:p>
    <w:p w14:paraId="66D8525D" w14:textId="77777777" w:rsidR="002135E4" w:rsidRDefault="002135E4" w:rsidP="00A663C9">
      <w:pPr>
        <w:rPr>
          <w:b/>
          <w:bCs/>
          <w:sz w:val="24"/>
          <w:szCs w:val="24"/>
        </w:rPr>
      </w:pPr>
    </w:p>
    <w:p w14:paraId="114BC4F6" w14:textId="77777777" w:rsidR="002135E4" w:rsidRDefault="002135E4" w:rsidP="00A663C9">
      <w:pPr>
        <w:rPr>
          <w:b/>
          <w:bCs/>
          <w:sz w:val="24"/>
          <w:szCs w:val="24"/>
        </w:rPr>
      </w:pPr>
    </w:p>
    <w:p w14:paraId="1A96A36C" w14:textId="77777777" w:rsidR="002135E4" w:rsidRDefault="002135E4" w:rsidP="00A663C9">
      <w:pPr>
        <w:rPr>
          <w:b/>
          <w:bCs/>
          <w:sz w:val="24"/>
          <w:szCs w:val="24"/>
        </w:rPr>
      </w:pPr>
    </w:p>
    <w:p w14:paraId="7678171E" w14:textId="77777777" w:rsidR="002135E4" w:rsidRDefault="002135E4" w:rsidP="00A663C9">
      <w:pPr>
        <w:rPr>
          <w:b/>
          <w:bCs/>
          <w:sz w:val="24"/>
          <w:szCs w:val="24"/>
        </w:rPr>
      </w:pPr>
    </w:p>
    <w:p w14:paraId="5C23F04D" w14:textId="77777777" w:rsidR="002135E4" w:rsidRDefault="002135E4" w:rsidP="00A663C9">
      <w:pPr>
        <w:rPr>
          <w:b/>
          <w:bCs/>
          <w:sz w:val="24"/>
          <w:szCs w:val="24"/>
        </w:rPr>
      </w:pPr>
    </w:p>
    <w:p w14:paraId="053AC08B" w14:textId="77777777" w:rsidR="002135E4" w:rsidRDefault="002135E4" w:rsidP="00A663C9">
      <w:pPr>
        <w:rPr>
          <w:b/>
          <w:bCs/>
          <w:sz w:val="24"/>
          <w:szCs w:val="24"/>
        </w:rPr>
      </w:pPr>
    </w:p>
    <w:p w14:paraId="2D3F16A1" w14:textId="77777777" w:rsidR="002135E4" w:rsidRDefault="002135E4" w:rsidP="00A663C9">
      <w:pPr>
        <w:rPr>
          <w:b/>
          <w:bCs/>
          <w:sz w:val="24"/>
          <w:szCs w:val="24"/>
        </w:rPr>
      </w:pPr>
    </w:p>
    <w:p w14:paraId="745FAEBE" w14:textId="77777777" w:rsidR="002135E4" w:rsidRDefault="002135E4" w:rsidP="00A663C9">
      <w:pPr>
        <w:rPr>
          <w:b/>
          <w:bCs/>
          <w:sz w:val="24"/>
          <w:szCs w:val="24"/>
        </w:rPr>
      </w:pPr>
    </w:p>
    <w:p w14:paraId="73BDEC51" w14:textId="77777777" w:rsidR="002135E4" w:rsidRDefault="002135E4" w:rsidP="00A663C9">
      <w:pPr>
        <w:rPr>
          <w:b/>
          <w:bCs/>
          <w:sz w:val="24"/>
          <w:szCs w:val="24"/>
        </w:rPr>
      </w:pPr>
    </w:p>
    <w:p w14:paraId="5906DE57" w14:textId="77777777" w:rsidR="002135E4" w:rsidRDefault="002135E4" w:rsidP="00A663C9">
      <w:pPr>
        <w:rPr>
          <w:b/>
          <w:bCs/>
          <w:sz w:val="24"/>
          <w:szCs w:val="24"/>
        </w:rPr>
      </w:pPr>
    </w:p>
    <w:p w14:paraId="690B2359" w14:textId="77777777" w:rsidR="002135E4" w:rsidRDefault="002135E4" w:rsidP="00A663C9">
      <w:pPr>
        <w:rPr>
          <w:b/>
          <w:bCs/>
          <w:sz w:val="24"/>
          <w:szCs w:val="24"/>
        </w:rPr>
      </w:pPr>
    </w:p>
    <w:p w14:paraId="272C8A92" w14:textId="77777777" w:rsidR="002135E4" w:rsidRDefault="002135E4" w:rsidP="00A663C9">
      <w:pPr>
        <w:rPr>
          <w:b/>
          <w:bCs/>
          <w:sz w:val="24"/>
          <w:szCs w:val="24"/>
        </w:rPr>
      </w:pPr>
    </w:p>
    <w:p w14:paraId="36038F47" w14:textId="77777777" w:rsidR="002135E4" w:rsidRDefault="002135E4" w:rsidP="00A663C9">
      <w:pPr>
        <w:rPr>
          <w:b/>
          <w:bCs/>
          <w:sz w:val="24"/>
          <w:szCs w:val="24"/>
        </w:rPr>
      </w:pPr>
    </w:p>
    <w:p w14:paraId="26976B2F" w14:textId="77777777" w:rsidR="002135E4" w:rsidRDefault="002135E4" w:rsidP="00A663C9">
      <w:pPr>
        <w:rPr>
          <w:b/>
          <w:bCs/>
          <w:sz w:val="24"/>
          <w:szCs w:val="24"/>
        </w:rPr>
      </w:pPr>
    </w:p>
    <w:p w14:paraId="4FDC086C" w14:textId="17534104" w:rsidR="002135E4" w:rsidRPr="002135E4" w:rsidRDefault="002135E4" w:rsidP="00A663C9">
      <w:pPr>
        <w:rPr>
          <w:b/>
          <w:bCs/>
          <w:sz w:val="24"/>
          <w:szCs w:val="24"/>
          <w:u w:val="single"/>
        </w:rPr>
      </w:pPr>
      <w:proofErr w:type="spellStart"/>
      <w:r w:rsidRPr="002135E4">
        <w:rPr>
          <w:b/>
          <w:bCs/>
          <w:sz w:val="24"/>
          <w:szCs w:val="24"/>
          <w:u w:val="single"/>
        </w:rPr>
        <w:lastRenderedPageBreak/>
        <w:t>gesida_TB_en_VIH</w:t>
      </w:r>
      <w:proofErr w:type="spellEnd"/>
    </w:p>
    <w:p w14:paraId="1487672D" w14:textId="77777777" w:rsidR="00873A6D" w:rsidRPr="00873A6D" w:rsidRDefault="00873A6D" w:rsidP="00873A6D">
      <w:r w:rsidRPr="00873A6D">
        <w:t>Su objetivo es establecer las pautas para tratar eficazmente la tuberculosis en estos pacientes, prestando especial atención a cuándo iniciar la medicación para el VIH y cómo manejar las interacciones entre los fármacos de ambas enfermedades.</w:t>
      </w:r>
    </w:p>
    <w:p w14:paraId="17C7A722" w14:textId="0B995610" w:rsidR="00873A6D" w:rsidRPr="00873A6D" w:rsidRDefault="00873A6D" w:rsidP="00873A6D">
      <w:pPr>
        <w:rPr>
          <w:b/>
          <w:bCs/>
        </w:rPr>
      </w:pPr>
      <w:r w:rsidRPr="00873A6D">
        <w:rPr>
          <w:b/>
          <w:bCs/>
        </w:rPr>
        <w:t>1. Tratamiento de la Tuberculosis Sensible</w:t>
      </w:r>
    </w:p>
    <w:p w14:paraId="61637FD2" w14:textId="77777777" w:rsidR="00873A6D" w:rsidRPr="00873A6D" w:rsidRDefault="00873A6D" w:rsidP="00873A6D">
      <w:r w:rsidRPr="00873A6D">
        <w:t>El enfoque terapéutico es similar al de la población sin VIH, pero con consideraciones específicas:</w:t>
      </w:r>
    </w:p>
    <w:p w14:paraId="412B7C2C" w14:textId="77777777" w:rsidR="00873A6D" w:rsidRPr="00873A6D" w:rsidRDefault="00873A6D" w:rsidP="00873A6D">
      <w:pPr>
        <w:numPr>
          <w:ilvl w:val="0"/>
          <w:numId w:val="20"/>
        </w:numPr>
      </w:pPr>
      <w:r w:rsidRPr="00873A6D">
        <w:t>Fase de inducción (2 meses): Se debe iniciar con 4 fármacos diarios: Isoniazida, Rifampicina, Pirazinamida y Etambutol (HRZE).</w:t>
      </w:r>
    </w:p>
    <w:p w14:paraId="3C477881" w14:textId="77777777" w:rsidR="00873A6D" w:rsidRPr="00873A6D" w:rsidRDefault="00873A6D" w:rsidP="00873A6D">
      <w:pPr>
        <w:numPr>
          <w:ilvl w:val="0"/>
          <w:numId w:val="20"/>
        </w:numPr>
      </w:pPr>
      <w:r w:rsidRPr="00873A6D">
        <w:t>Fase de mantenimiento: Se continúa con Isoniazida y Rifampicina.</w:t>
      </w:r>
    </w:p>
    <w:p w14:paraId="1CE6C282" w14:textId="77777777" w:rsidR="00873A6D" w:rsidRPr="00873A6D" w:rsidRDefault="00873A6D" w:rsidP="00873A6D">
      <w:pPr>
        <w:numPr>
          <w:ilvl w:val="0"/>
          <w:numId w:val="20"/>
        </w:numPr>
      </w:pPr>
      <w:r w:rsidRPr="00873A6D">
        <w:t>Duración total: El tratamiento estándar dura 6 meses en total. Sin embargo, se debe prolongar a 9 meses o más si el paciente tiene un recuento de CD4 menor a 100 células/µL, enfermedad cavitada con cultivo positivo a los dos meses, sospecha de mala adherencia, o si la TB afecta el sistema nervioso central o las articulaciones.</w:t>
      </w:r>
    </w:p>
    <w:p w14:paraId="5BC0C04E" w14:textId="77777777" w:rsidR="00873A6D" w:rsidRPr="00873A6D" w:rsidRDefault="00873A6D" w:rsidP="00873A6D">
      <w:pPr>
        <w:numPr>
          <w:ilvl w:val="0"/>
          <w:numId w:val="20"/>
        </w:numPr>
      </w:pPr>
      <w:r w:rsidRPr="00873A6D">
        <w:t>Administración: El tratamiento debe ser de toma diaria; las pautas intermitentes no se recomiendan porque aumentan el riesgo de fracaso y resistencia.</w:t>
      </w:r>
    </w:p>
    <w:p w14:paraId="0C9E4A54" w14:textId="77777777" w:rsidR="00873A6D" w:rsidRPr="00873A6D" w:rsidRDefault="00873A6D" w:rsidP="00873A6D">
      <w:pPr>
        <w:rPr>
          <w:b/>
          <w:bCs/>
        </w:rPr>
      </w:pPr>
      <w:r w:rsidRPr="00873A6D">
        <w:rPr>
          <w:b/>
          <w:bCs/>
        </w:rPr>
        <w:t>2. Cuándo iniciar el Tratamiento Antirretroviral (TAR)</w:t>
      </w:r>
    </w:p>
    <w:p w14:paraId="2F9631C3" w14:textId="77777777" w:rsidR="00873A6D" w:rsidRPr="00873A6D" w:rsidRDefault="00873A6D" w:rsidP="00873A6D">
      <w:r w:rsidRPr="00873A6D">
        <w:t>Este es uno de los puntos más críticos de la guía. Iniciar el TAR durante el tratamiento de la TB reduce el riesgo de muerte, pero el momento exacto depende del estado inmunológico del paciente:</w:t>
      </w:r>
    </w:p>
    <w:p w14:paraId="2FFFD6FD" w14:textId="77777777" w:rsidR="00873A6D" w:rsidRPr="00873A6D" w:rsidRDefault="00873A6D" w:rsidP="00873A6D">
      <w:pPr>
        <w:numPr>
          <w:ilvl w:val="0"/>
          <w:numId w:val="21"/>
        </w:numPr>
      </w:pPr>
      <w:r w:rsidRPr="00873A6D">
        <w:t>Pacientes con CD4 inferior a 50 células/µL (Inmunosupresión severa): Se debe iniciar el TAR lo antes posible, idealmente en las dos primeras semanas tras comenzar el tratamiento contra la TB.</w:t>
      </w:r>
    </w:p>
    <w:p w14:paraId="04E776E3" w14:textId="77777777" w:rsidR="00873A6D" w:rsidRPr="00873A6D" w:rsidRDefault="00873A6D" w:rsidP="00873A6D">
      <w:pPr>
        <w:numPr>
          <w:ilvl w:val="0"/>
          <w:numId w:val="21"/>
        </w:numPr>
      </w:pPr>
      <w:r w:rsidRPr="00873A6D">
        <w:t>Pacientes con CD4 superior a 50 células/µL: Se recomienda retrasar el inicio del TAR hasta finalizar la fase intensiva del tratamiento de la TB (a las 8 semanas). Esto se hace para reducir el riesgo de toxicidad solapada y del Síndrome de Reconstitución Inmune.</w:t>
      </w:r>
    </w:p>
    <w:p w14:paraId="3EC8A72D" w14:textId="77777777" w:rsidR="00873A6D" w:rsidRPr="00873A6D" w:rsidRDefault="00873A6D" w:rsidP="00873A6D">
      <w:pPr>
        <w:rPr>
          <w:b/>
          <w:bCs/>
        </w:rPr>
      </w:pPr>
      <w:r w:rsidRPr="00873A6D">
        <w:rPr>
          <w:b/>
          <w:bCs/>
        </w:rPr>
        <w:t>3. Interacciones Farmacológicas y Elección del TAR</w:t>
      </w:r>
    </w:p>
    <w:p w14:paraId="32C2327B" w14:textId="77777777" w:rsidR="00873A6D" w:rsidRPr="00873A6D" w:rsidRDefault="00873A6D" w:rsidP="00873A6D">
      <w:r w:rsidRPr="00873A6D">
        <w:t>Tratar ambas infecciones a la vez es complejo porque la Rifampicina (fármaco clave contra la TB) interfiere fuertemente con el metabolismo del hígado, disminuyendo los niveles en sangre de muchos medicamentos contra el VIH.</w:t>
      </w:r>
    </w:p>
    <w:p w14:paraId="5F1756F3" w14:textId="77777777" w:rsidR="00873A6D" w:rsidRPr="00873A6D" w:rsidRDefault="00873A6D" w:rsidP="00873A6D">
      <w:pPr>
        <w:numPr>
          <w:ilvl w:val="0"/>
          <w:numId w:val="22"/>
        </w:numPr>
      </w:pPr>
      <w:r w:rsidRPr="00873A6D">
        <w:t xml:space="preserve">Pauta preferente: Se recomienda usar Efavirenz (600 mg/día) combinado con </w:t>
      </w:r>
      <w:proofErr w:type="spellStart"/>
      <w:r w:rsidRPr="00873A6D">
        <w:t>Tenofovir</w:t>
      </w:r>
      <w:proofErr w:type="spellEnd"/>
      <w:r w:rsidRPr="00873A6D">
        <w:t>/</w:t>
      </w:r>
      <w:proofErr w:type="spellStart"/>
      <w:r w:rsidRPr="00873A6D">
        <w:t>Emtricitabina</w:t>
      </w:r>
      <w:proofErr w:type="spellEnd"/>
      <w:r w:rsidRPr="00873A6D">
        <w:t xml:space="preserve"> o Abacavir/</w:t>
      </w:r>
      <w:proofErr w:type="spellStart"/>
      <w:r w:rsidRPr="00873A6D">
        <w:t>Lamivudina</w:t>
      </w:r>
      <w:proofErr w:type="spellEnd"/>
      <w:r w:rsidRPr="00873A6D">
        <w:t>, ya que es la combinación que mejor tolera la interacción con la Rifampicina.</w:t>
      </w:r>
    </w:p>
    <w:p w14:paraId="1D6F7FF2" w14:textId="77777777" w:rsidR="00873A6D" w:rsidRPr="00873A6D" w:rsidRDefault="00873A6D" w:rsidP="00873A6D">
      <w:pPr>
        <w:numPr>
          <w:ilvl w:val="0"/>
          <w:numId w:val="22"/>
        </w:numPr>
      </w:pPr>
      <w:r w:rsidRPr="00873A6D">
        <w:t>Contraindicaciones: El uso de inhibidores de la proteasa potenciados con ritonavir (IP/r) está contraindicado junto a la Rifampicina por graves problemas de toxicidad hepática.</w:t>
      </w:r>
    </w:p>
    <w:p w14:paraId="440F68CC" w14:textId="77777777" w:rsidR="00873A6D" w:rsidRDefault="00873A6D" w:rsidP="00873A6D">
      <w:pPr>
        <w:rPr>
          <w:b/>
          <w:bCs/>
        </w:rPr>
      </w:pPr>
    </w:p>
    <w:p w14:paraId="5263B257" w14:textId="77777777" w:rsidR="00873A6D" w:rsidRDefault="00873A6D" w:rsidP="00873A6D">
      <w:pPr>
        <w:rPr>
          <w:b/>
          <w:bCs/>
        </w:rPr>
      </w:pPr>
    </w:p>
    <w:p w14:paraId="598C2E52" w14:textId="1E342B09" w:rsidR="00873A6D" w:rsidRPr="00873A6D" w:rsidRDefault="00873A6D" w:rsidP="00873A6D">
      <w:pPr>
        <w:rPr>
          <w:b/>
          <w:bCs/>
        </w:rPr>
      </w:pPr>
      <w:r w:rsidRPr="00873A6D">
        <w:rPr>
          <w:b/>
          <w:bCs/>
        </w:rPr>
        <w:lastRenderedPageBreak/>
        <w:t>4. Síndrome de Reconstitución Inmune (SRI)</w:t>
      </w:r>
    </w:p>
    <w:p w14:paraId="71D9DD99" w14:textId="77777777" w:rsidR="00873A6D" w:rsidRPr="00873A6D" w:rsidRDefault="00873A6D" w:rsidP="00873A6D">
      <w:r w:rsidRPr="00873A6D">
        <w:t>El SRI es un empeoramiento clínico paradójico que ocurre cuando el sistema inmunitario del paciente comienza a recuperarse rápidamente tras iniciar el TAR y genera una respuesta inflamatoria exagerada contra la tuberculosis.</w:t>
      </w:r>
    </w:p>
    <w:p w14:paraId="4E17204E" w14:textId="77777777" w:rsidR="00873A6D" w:rsidRPr="00873A6D" w:rsidRDefault="00873A6D" w:rsidP="00873A6D">
      <w:pPr>
        <w:numPr>
          <w:ilvl w:val="0"/>
          <w:numId w:val="23"/>
        </w:numPr>
      </w:pPr>
      <w:r w:rsidRPr="00873A6D">
        <w:t>Regla principal: Si aparece el SRI, no debe interrumpirse ni el tratamiento de la TB ni el TAR.</w:t>
      </w:r>
    </w:p>
    <w:p w14:paraId="683F3590" w14:textId="77777777" w:rsidR="00873A6D" w:rsidRPr="00873A6D" w:rsidRDefault="00873A6D" w:rsidP="00873A6D">
      <w:pPr>
        <w:numPr>
          <w:ilvl w:val="0"/>
          <w:numId w:val="23"/>
        </w:numPr>
      </w:pPr>
      <w:r w:rsidRPr="00873A6D">
        <w:t>Manejo: Los casos leves se tratan con antiinflamatorios (</w:t>
      </w:r>
      <w:proofErr w:type="spellStart"/>
      <w:r w:rsidRPr="00873A6D">
        <w:t>AINEs</w:t>
      </w:r>
      <w:proofErr w:type="spellEnd"/>
      <w:r w:rsidRPr="00873A6D">
        <w:t>). Para los casos moderados o graves, se recomienda el uso de corticosteroides (prednisona), ya que mejoran los síntomas sin añadir efectos adversos significativos.</w:t>
      </w:r>
    </w:p>
    <w:p w14:paraId="5BF6BE5C" w14:textId="77777777" w:rsidR="00873A6D" w:rsidRPr="00873A6D" w:rsidRDefault="00873A6D" w:rsidP="00873A6D">
      <w:pPr>
        <w:rPr>
          <w:b/>
          <w:bCs/>
        </w:rPr>
      </w:pPr>
      <w:r w:rsidRPr="00873A6D">
        <w:rPr>
          <w:b/>
          <w:bCs/>
        </w:rPr>
        <w:t>5. Tuberculosis Resistente y Situaciones Especiales</w:t>
      </w:r>
    </w:p>
    <w:p w14:paraId="23F1C297" w14:textId="77777777" w:rsidR="00873A6D" w:rsidRPr="00873A6D" w:rsidRDefault="00873A6D" w:rsidP="00873A6D">
      <w:pPr>
        <w:numPr>
          <w:ilvl w:val="0"/>
          <w:numId w:val="24"/>
        </w:numPr>
      </w:pPr>
      <w:r w:rsidRPr="00873A6D">
        <w:t>TB Resistente (MDR / XDR): Si la bacteria es resistente a la Isoniazida y Rifampicina, el tratamiento se complica enormemente. Se requieren pautas prolongadas (12 a 18 meses) combinando al menos 5 fármacos activos que el paciente no haya usado antes, idealmente bajo un programa de tratamiento directamente observado (TDO).</w:t>
      </w:r>
    </w:p>
    <w:p w14:paraId="0CC2D54E" w14:textId="77777777" w:rsidR="00873A6D" w:rsidRPr="00873A6D" w:rsidRDefault="00873A6D" w:rsidP="00873A6D">
      <w:pPr>
        <w:numPr>
          <w:ilvl w:val="0"/>
          <w:numId w:val="24"/>
        </w:numPr>
      </w:pPr>
      <w:r w:rsidRPr="00873A6D">
        <w:t>Embarazo y daño hepático/renal: La pauta estándar de 4 fármacos es segura en el embarazo. En caso de insuficiencia renal, las dosis de Pirazinamida y Etambutol deben ajustarse. En pacientes con hepatopatía crónica, el riesgo de toxicidad es mayor, por lo que se requiere una monitorización clínica muy frecuente, aunque no se contraindica la pauta inicial.</w:t>
      </w:r>
    </w:p>
    <w:p w14:paraId="62F5280E" w14:textId="77777777" w:rsidR="002135E4" w:rsidRDefault="002135E4" w:rsidP="00A663C9">
      <w:pPr>
        <w:rPr>
          <w:b/>
          <w:bCs/>
          <w:sz w:val="24"/>
          <w:szCs w:val="24"/>
        </w:rPr>
      </w:pPr>
    </w:p>
    <w:p w14:paraId="6297CF37" w14:textId="77777777" w:rsidR="00873A6D" w:rsidRDefault="00873A6D" w:rsidP="00A663C9">
      <w:pPr>
        <w:rPr>
          <w:b/>
          <w:bCs/>
          <w:sz w:val="24"/>
          <w:szCs w:val="24"/>
        </w:rPr>
      </w:pPr>
    </w:p>
    <w:p w14:paraId="0477671B" w14:textId="77777777" w:rsidR="00873A6D" w:rsidRDefault="00873A6D" w:rsidP="00A663C9">
      <w:pPr>
        <w:rPr>
          <w:b/>
          <w:bCs/>
          <w:sz w:val="24"/>
          <w:szCs w:val="24"/>
        </w:rPr>
      </w:pPr>
    </w:p>
    <w:p w14:paraId="7079EB5C" w14:textId="77777777" w:rsidR="00873A6D" w:rsidRDefault="00873A6D" w:rsidP="00A663C9">
      <w:pPr>
        <w:rPr>
          <w:b/>
          <w:bCs/>
          <w:sz w:val="24"/>
          <w:szCs w:val="24"/>
        </w:rPr>
      </w:pPr>
    </w:p>
    <w:p w14:paraId="114AFDC7" w14:textId="77777777" w:rsidR="00873A6D" w:rsidRDefault="00873A6D" w:rsidP="00A663C9">
      <w:pPr>
        <w:rPr>
          <w:b/>
          <w:bCs/>
          <w:sz w:val="24"/>
          <w:szCs w:val="24"/>
        </w:rPr>
      </w:pPr>
    </w:p>
    <w:p w14:paraId="7CDEEEEB" w14:textId="77777777" w:rsidR="00873A6D" w:rsidRDefault="00873A6D" w:rsidP="00A663C9">
      <w:pPr>
        <w:rPr>
          <w:b/>
          <w:bCs/>
          <w:sz w:val="24"/>
          <w:szCs w:val="24"/>
        </w:rPr>
      </w:pPr>
    </w:p>
    <w:p w14:paraId="53063AD0" w14:textId="77777777" w:rsidR="00873A6D" w:rsidRDefault="00873A6D" w:rsidP="00A663C9">
      <w:pPr>
        <w:rPr>
          <w:b/>
          <w:bCs/>
          <w:sz w:val="24"/>
          <w:szCs w:val="24"/>
        </w:rPr>
      </w:pPr>
    </w:p>
    <w:p w14:paraId="108DC79A" w14:textId="77777777" w:rsidR="00873A6D" w:rsidRDefault="00873A6D" w:rsidP="00A663C9">
      <w:pPr>
        <w:rPr>
          <w:b/>
          <w:bCs/>
          <w:sz w:val="24"/>
          <w:szCs w:val="24"/>
        </w:rPr>
      </w:pPr>
    </w:p>
    <w:p w14:paraId="6E0A4690" w14:textId="77777777" w:rsidR="00873A6D" w:rsidRDefault="00873A6D" w:rsidP="00A663C9">
      <w:pPr>
        <w:rPr>
          <w:b/>
          <w:bCs/>
          <w:sz w:val="24"/>
          <w:szCs w:val="24"/>
        </w:rPr>
      </w:pPr>
    </w:p>
    <w:p w14:paraId="4D4500D6" w14:textId="77777777" w:rsidR="00873A6D" w:rsidRDefault="00873A6D" w:rsidP="00A663C9">
      <w:pPr>
        <w:rPr>
          <w:b/>
          <w:bCs/>
          <w:sz w:val="24"/>
          <w:szCs w:val="24"/>
        </w:rPr>
      </w:pPr>
    </w:p>
    <w:p w14:paraId="42AB977B" w14:textId="77777777" w:rsidR="00873A6D" w:rsidRDefault="00873A6D" w:rsidP="00A663C9">
      <w:pPr>
        <w:rPr>
          <w:b/>
          <w:bCs/>
          <w:sz w:val="24"/>
          <w:szCs w:val="24"/>
        </w:rPr>
      </w:pPr>
    </w:p>
    <w:p w14:paraId="49F56244" w14:textId="77777777" w:rsidR="00873A6D" w:rsidRDefault="00873A6D" w:rsidP="00A663C9">
      <w:pPr>
        <w:rPr>
          <w:b/>
          <w:bCs/>
          <w:sz w:val="24"/>
          <w:szCs w:val="24"/>
        </w:rPr>
      </w:pPr>
    </w:p>
    <w:p w14:paraId="3767B583" w14:textId="77777777" w:rsidR="00873A6D" w:rsidRDefault="00873A6D" w:rsidP="00A663C9">
      <w:pPr>
        <w:rPr>
          <w:b/>
          <w:bCs/>
          <w:sz w:val="24"/>
          <w:szCs w:val="24"/>
        </w:rPr>
      </w:pPr>
    </w:p>
    <w:p w14:paraId="64EC519D" w14:textId="77777777" w:rsidR="00873A6D" w:rsidRDefault="00873A6D" w:rsidP="00A663C9">
      <w:pPr>
        <w:rPr>
          <w:b/>
          <w:bCs/>
          <w:sz w:val="24"/>
          <w:szCs w:val="24"/>
        </w:rPr>
      </w:pPr>
    </w:p>
    <w:p w14:paraId="03E0C653" w14:textId="77777777" w:rsidR="00873A6D" w:rsidRDefault="00873A6D" w:rsidP="00A663C9">
      <w:pPr>
        <w:rPr>
          <w:b/>
          <w:bCs/>
          <w:sz w:val="24"/>
          <w:szCs w:val="24"/>
        </w:rPr>
      </w:pPr>
    </w:p>
    <w:p w14:paraId="65CBE30A" w14:textId="10150AEC" w:rsidR="00873A6D" w:rsidRPr="00873A6D" w:rsidRDefault="00873A6D" w:rsidP="00A663C9">
      <w:pPr>
        <w:rPr>
          <w:b/>
          <w:bCs/>
          <w:sz w:val="24"/>
          <w:szCs w:val="24"/>
          <w:u w:val="single"/>
        </w:rPr>
      </w:pPr>
      <w:r w:rsidRPr="00873A6D">
        <w:rPr>
          <w:b/>
          <w:bCs/>
          <w:sz w:val="24"/>
          <w:szCs w:val="24"/>
          <w:u w:val="single"/>
        </w:rPr>
        <w:lastRenderedPageBreak/>
        <w:t>Documento-de-consenso-en-relacion-con-las-alteraciones-metabolicas-y-riesgo-cardiovascular-en-las-personas-con-VIH_V1-1</w:t>
      </w:r>
    </w:p>
    <w:p w14:paraId="775C4C9A" w14:textId="77777777" w:rsidR="0028130D" w:rsidRPr="0028130D" w:rsidRDefault="0028130D" w:rsidP="0028130D">
      <w:r w:rsidRPr="0028130D">
        <w:t>Su objetivo es establecer directrices clínicas, ya que las personas con VIH (PVIH) tienen entre un 50% y un 100% más de riesgo de padecer enfermedades cardiovasculares que la población general.</w:t>
      </w:r>
    </w:p>
    <w:p w14:paraId="6185B5E1" w14:textId="77777777" w:rsidR="0028130D" w:rsidRPr="0028130D" w:rsidRDefault="0028130D" w:rsidP="0028130D">
      <w:pPr>
        <w:rPr>
          <w:b/>
          <w:bCs/>
        </w:rPr>
      </w:pPr>
      <w:r w:rsidRPr="0028130D">
        <w:rPr>
          <w:b/>
          <w:bCs/>
        </w:rPr>
        <w:t>1. Estilo de Vida Saludable</w:t>
      </w:r>
    </w:p>
    <w:p w14:paraId="619F568C" w14:textId="77777777" w:rsidR="0028130D" w:rsidRPr="0028130D" w:rsidRDefault="0028130D" w:rsidP="0028130D">
      <w:r w:rsidRPr="0028130D">
        <w:t>El documento enfatiza que la optimización del estilo de vida es el primer paso en la prevención.</w:t>
      </w:r>
    </w:p>
    <w:p w14:paraId="38C82295" w14:textId="77777777" w:rsidR="0028130D" w:rsidRPr="0028130D" w:rsidRDefault="0028130D" w:rsidP="0028130D">
      <w:pPr>
        <w:numPr>
          <w:ilvl w:val="0"/>
          <w:numId w:val="25"/>
        </w:numPr>
      </w:pPr>
      <w:r w:rsidRPr="0028130D">
        <w:t>Dieta y Alcohol: Se recomienda seguir un patrón de dieta mediterránea (rica en fibra, vegetales, aceite de oliva virgen) y limitar el consumo de alcohol a menos de 100 gramos por semana.</w:t>
      </w:r>
    </w:p>
    <w:p w14:paraId="70E39348" w14:textId="77777777" w:rsidR="0028130D" w:rsidRPr="0028130D" w:rsidRDefault="0028130D" w:rsidP="0028130D">
      <w:pPr>
        <w:numPr>
          <w:ilvl w:val="0"/>
          <w:numId w:val="25"/>
        </w:numPr>
      </w:pPr>
      <w:r w:rsidRPr="0028130D">
        <w:t>Ejercicio: Se aconsejan entre 150-300 minutos semanales de actividad aeróbica moderada o 75-150 minutos de actividad vigorosa, combinados con ejercicios de fuerza muscular dos veces por semana.</w:t>
      </w:r>
    </w:p>
    <w:p w14:paraId="6596133C" w14:textId="77777777" w:rsidR="0028130D" w:rsidRPr="0028130D" w:rsidRDefault="0028130D" w:rsidP="0028130D">
      <w:pPr>
        <w:numPr>
          <w:ilvl w:val="0"/>
          <w:numId w:val="25"/>
        </w:numPr>
      </w:pPr>
      <w:r w:rsidRPr="0028130D">
        <w:t>Tabaquismo: Es el principal factor de riesgo modificable. El tabaquismo causa más años de vida perdidos que el propio VIH en pacientes bien controlados. Se recomienda encarecidamente el abandono del tabaco combinando tratamiento farmacológico y terapias conductuales.</w:t>
      </w:r>
    </w:p>
    <w:p w14:paraId="496CDC28" w14:textId="77777777" w:rsidR="0028130D" w:rsidRPr="0028130D" w:rsidRDefault="0028130D" w:rsidP="0028130D">
      <w:pPr>
        <w:numPr>
          <w:ilvl w:val="0"/>
          <w:numId w:val="25"/>
        </w:numPr>
      </w:pPr>
      <w:r w:rsidRPr="0028130D">
        <w:t>Sueño: Se debe evaluar anualmente la duración y calidad del sueño, así como el riesgo de apnea. El tratamiento de primera línea para el insomnio es la terapia cognitivo-conductual.</w:t>
      </w:r>
    </w:p>
    <w:p w14:paraId="7046D1EE" w14:textId="77777777" w:rsidR="0028130D" w:rsidRPr="0028130D" w:rsidRDefault="0028130D" w:rsidP="0028130D">
      <w:pPr>
        <w:rPr>
          <w:b/>
          <w:bCs/>
        </w:rPr>
      </w:pPr>
      <w:r w:rsidRPr="0028130D">
        <w:rPr>
          <w:b/>
          <w:bCs/>
        </w:rPr>
        <w:t>2. Ganancia Excesiva de Peso y Obesidad</w:t>
      </w:r>
    </w:p>
    <w:p w14:paraId="67F08AC6" w14:textId="77777777" w:rsidR="0028130D" w:rsidRPr="0028130D" w:rsidRDefault="0028130D" w:rsidP="0028130D">
      <w:pPr>
        <w:numPr>
          <w:ilvl w:val="0"/>
          <w:numId w:val="26"/>
        </w:numPr>
      </w:pPr>
      <w:r w:rsidRPr="0028130D">
        <w:t xml:space="preserve">Causas: Además de los factores tradicionales y el envejecimiento, regímenes antirretrovirales que incluyen inhibidores de la integrasa (como </w:t>
      </w:r>
      <w:proofErr w:type="spellStart"/>
      <w:r w:rsidRPr="0028130D">
        <w:t>dolutegravir</w:t>
      </w:r>
      <w:proofErr w:type="spellEnd"/>
      <w:r w:rsidRPr="0028130D">
        <w:t xml:space="preserve">) y </w:t>
      </w:r>
      <w:proofErr w:type="spellStart"/>
      <w:r w:rsidRPr="0028130D">
        <w:t>tenofovir</w:t>
      </w:r>
      <w:proofErr w:type="spellEnd"/>
      <w:r w:rsidRPr="0028130D">
        <w:t xml:space="preserve"> </w:t>
      </w:r>
      <w:proofErr w:type="spellStart"/>
      <w:r w:rsidRPr="0028130D">
        <w:t>alafenamida</w:t>
      </w:r>
      <w:proofErr w:type="spellEnd"/>
      <w:r w:rsidRPr="0028130D">
        <w:t xml:space="preserve"> (TAF) se asocian con mayor ganancia de peso, sobre todo en el primer o segundo año de tratamiento.</w:t>
      </w:r>
    </w:p>
    <w:p w14:paraId="1208BCC0" w14:textId="77777777" w:rsidR="0028130D" w:rsidRPr="0028130D" w:rsidRDefault="0028130D" w:rsidP="0028130D">
      <w:pPr>
        <w:numPr>
          <w:ilvl w:val="0"/>
          <w:numId w:val="26"/>
        </w:numPr>
      </w:pPr>
      <w:r w:rsidRPr="0028130D">
        <w:t>Evaluación: Se debe medir el peso, el Índice de Masa Corporal (IMC) y la circunferencia de la cintura (CC) al iniciar o cambiar el tratamiento, y posteriormente cada 6-12 meses.</w:t>
      </w:r>
    </w:p>
    <w:p w14:paraId="743DDE06" w14:textId="77777777" w:rsidR="0028130D" w:rsidRPr="0028130D" w:rsidRDefault="0028130D" w:rsidP="0028130D">
      <w:pPr>
        <w:numPr>
          <w:ilvl w:val="0"/>
          <w:numId w:val="26"/>
        </w:numPr>
      </w:pPr>
      <w:r w:rsidRPr="0028130D">
        <w:t>Manejo del TAR: La recomendación clínica más estricta es no modificar las pautas actuales para la elección del tratamiento antirretroviral (TAR) únicamente por motivos relacionados con el peso.</w:t>
      </w:r>
    </w:p>
    <w:p w14:paraId="047B88F0" w14:textId="77777777" w:rsidR="0028130D" w:rsidRPr="0028130D" w:rsidRDefault="0028130D" w:rsidP="0028130D">
      <w:pPr>
        <w:numPr>
          <w:ilvl w:val="0"/>
          <w:numId w:val="26"/>
        </w:numPr>
      </w:pPr>
      <w:r w:rsidRPr="0028130D">
        <w:t xml:space="preserve">Tratamiento: Destacan los agonistas del receptor GLP-1 (como </w:t>
      </w:r>
      <w:proofErr w:type="spellStart"/>
      <w:r w:rsidRPr="0028130D">
        <w:t>semaglutida</w:t>
      </w:r>
      <w:proofErr w:type="spellEnd"/>
      <w:r w:rsidRPr="0028130D">
        <w:t>) por su eficacia y tolerabilidad en el control de peso.</w:t>
      </w:r>
    </w:p>
    <w:p w14:paraId="36904696" w14:textId="77777777" w:rsidR="0028130D" w:rsidRDefault="0028130D" w:rsidP="0028130D">
      <w:pPr>
        <w:rPr>
          <w:b/>
          <w:bCs/>
        </w:rPr>
      </w:pPr>
    </w:p>
    <w:p w14:paraId="497BD2A3" w14:textId="77777777" w:rsidR="0028130D" w:rsidRDefault="0028130D" w:rsidP="0028130D">
      <w:pPr>
        <w:rPr>
          <w:b/>
          <w:bCs/>
        </w:rPr>
      </w:pPr>
    </w:p>
    <w:p w14:paraId="4C81FF72" w14:textId="77777777" w:rsidR="0028130D" w:rsidRDefault="0028130D" w:rsidP="0028130D">
      <w:pPr>
        <w:rPr>
          <w:b/>
          <w:bCs/>
        </w:rPr>
      </w:pPr>
    </w:p>
    <w:p w14:paraId="3193E6FF" w14:textId="77777777" w:rsidR="0028130D" w:rsidRDefault="0028130D" w:rsidP="0028130D">
      <w:pPr>
        <w:rPr>
          <w:b/>
          <w:bCs/>
        </w:rPr>
      </w:pPr>
    </w:p>
    <w:p w14:paraId="4561A960" w14:textId="77777777" w:rsidR="0028130D" w:rsidRDefault="0028130D" w:rsidP="0028130D">
      <w:pPr>
        <w:rPr>
          <w:b/>
          <w:bCs/>
        </w:rPr>
      </w:pPr>
    </w:p>
    <w:p w14:paraId="1241234D" w14:textId="12118680" w:rsidR="0028130D" w:rsidRPr="0028130D" w:rsidRDefault="0028130D" w:rsidP="0028130D">
      <w:pPr>
        <w:rPr>
          <w:b/>
          <w:bCs/>
        </w:rPr>
      </w:pPr>
      <w:r w:rsidRPr="0028130D">
        <w:rPr>
          <w:b/>
          <w:bCs/>
        </w:rPr>
        <w:lastRenderedPageBreak/>
        <w:t>3. Diabetes Mellitus Tipo 2 (DM2)</w:t>
      </w:r>
    </w:p>
    <w:p w14:paraId="67F3F8B8" w14:textId="77777777" w:rsidR="0028130D" w:rsidRPr="0028130D" w:rsidRDefault="0028130D" w:rsidP="0028130D">
      <w:pPr>
        <w:numPr>
          <w:ilvl w:val="0"/>
          <w:numId w:val="27"/>
        </w:numPr>
      </w:pPr>
      <w:r w:rsidRPr="0028130D">
        <w:t>Epidemiología y Cribado: La incidencia de DM2 es hasta 4 veces mayor en PVIH. Se recomienda el cribado mediante glucemia en ayunas o hemoglobina glicosilada (HbA1c) al menos una vez al año.</w:t>
      </w:r>
    </w:p>
    <w:p w14:paraId="15998A15" w14:textId="77777777" w:rsidR="0028130D" w:rsidRPr="0028130D" w:rsidRDefault="0028130D" w:rsidP="0028130D">
      <w:pPr>
        <w:numPr>
          <w:ilvl w:val="0"/>
          <w:numId w:val="27"/>
        </w:numPr>
      </w:pPr>
      <w:r w:rsidRPr="0028130D">
        <w:t>Tratamiento y Comorbilidades: El objetivo estándar es una HbA1c &lt;7%. Si el paciente tiene alto riesgo cardiovascular, insuficiencia cardíaca o enfermedad renal, se prioriza el uso de análogos de GLP-1 o inhibidores de SGLT2.</w:t>
      </w:r>
    </w:p>
    <w:p w14:paraId="3E52F5EF" w14:textId="77777777" w:rsidR="0028130D" w:rsidRPr="0028130D" w:rsidRDefault="0028130D" w:rsidP="0028130D">
      <w:pPr>
        <w:numPr>
          <w:ilvl w:val="0"/>
          <w:numId w:val="27"/>
        </w:numPr>
      </w:pPr>
      <w:r w:rsidRPr="0028130D">
        <w:t xml:space="preserve">Interacciones Farmacológicas: Es crucial vigilar la interacción de la metformina con </w:t>
      </w:r>
      <w:proofErr w:type="spellStart"/>
      <w:r w:rsidRPr="0028130D">
        <w:t>dolutegravir</w:t>
      </w:r>
      <w:proofErr w:type="spellEnd"/>
      <w:r w:rsidRPr="0028130D">
        <w:t xml:space="preserve"> y </w:t>
      </w:r>
      <w:proofErr w:type="spellStart"/>
      <w:r w:rsidRPr="0028130D">
        <w:t>bictegravir</w:t>
      </w:r>
      <w:proofErr w:type="spellEnd"/>
      <w:r w:rsidRPr="0028130D">
        <w:t>, ya que aumentan los niveles de metformina, recomendándose un límite máximo de 1000 mg diarios de este antidiabético al coadministrarse.</w:t>
      </w:r>
    </w:p>
    <w:p w14:paraId="0FB1B568" w14:textId="77777777" w:rsidR="0028130D" w:rsidRPr="0028130D" w:rsidRDefault="0028130D" w:rsidP="0028130D">
      <w:pPr>
        <w:rPr>
          <w:b/>
          <w:bCs/>
        </w:rPr>
      </w:pPr>
      <w:r w:rsidRPr="0028130D">
        <w:rPr>
          <w:b/>
          <w:bCs/>
        </w:rPr>
        <w:t>4. Hipertensión Arterial (HTA)</w:t>
      </w:r>
    </w:p>
    <w:p w14:paraId="2F89199E" w14:textId="77777777" w:rsidR="0028130D" w:rsidRPr="0028130D" w:rsidRDefault="0028130D" w:rsidP="0028130D">
      <w:pPr>
        <w:numPr>
          <w:ilvl w:val="0"/>
          <w:numId w:val="28"/>
        </w:numPr>
      </w:pPr>
      <w:r w:rsidRPr="0028130D">
        <w:t xml:space="preserve">Diagnóstico: Se confirma HTA con cifras de presión arterial sistólica $\ge140$ </w:t>
      </w:r>
      <w:proofErr w:type="spellStart"/>
      <w:r w:rsidRPr="0028130D">
        <w:t>mmHg</w:t>
      </w:r>
      <w:proofErr w:type="spellEnd"/>
      <w:r w:rsidRPr="0028130D">
        <w:t xml:space="preserve"> o diastólica $\ge90$ </w:t>
      </w:r>
      <w:proofErr w:type="spellStart"/>
      <w:r w:rsidRPr="0028130D">
        <w:t>mmHg</w:t>
      </w:r>
      <w:proofErr w:type="spellEnd"/>
      <w:r w:rsidRPr="0028130D">
        <w:t xml:space="preserve"> en consulta.</w:t>
      </w:r>
    </w:p>
    <w:p w14:paraId="39A89D23" w14:textId="77777777" w:rsidR="0028130D" w:rsidRPr="0028130D" w:rsidRDefault="0028130D" w:rsidP="0028130D">
      <w:pPr>
        <w:numPr>
          <w:ilvl w:val="0"/>
          <w:numId w:val="28"/>
        </w:numPr>
      </w:pPr>
      <w:r w:rsidRPr="0028130D">
        <w:t xml:space="preserve">Objetivos y Tratamiento: La meta es alcanzar cifras de 120-129/70-79 </w:t>
      </w:r>
      <w:proofErr w:type="spellStart"/>
      <w:r w:rsidRPr="0028130D">
        <w:t>mmHg</w:t>
      </w:r>
      <w:proofErr w:type="spellEnd"/>
      <w:r w:rsidRPr="0028130D">
        <w:t>. El inicio del tratamiento farmacológico se prefiere mediante una terapia dual (combinando inhibidores del sistema renina angiotensina con antagonistas del calcio o diuréticos) a dosis bajas en un solo comprimido.</w:t>
      </w:r>
    </w:p>
    <w:p w14:paraId="14A12048" w14:textId="77777777" w:rsidR="0028130D" w:rsidRPr="0028130D" w:rsidRDefault="0028130D" w:rsidP="0028130D">
      <w:pPr>
        <w:rPr>
          <w:b/>
          <w:bCs/>
        </w:rPr>
      </w:pPr>
      <w:r w:rsidRPr="0028130D">
        <w:rPr>
          <w:b/>
          <w:bCs/>
        </w:rPr>
        <w:t>5. Dislipemia</w:t>
      </w:r>
    </w:p>
    <w:p w14:paraId="04603876" w14:textId="77777777" w:rsidR="0028130D" w:rsidRPr="0028130D" w:rsidRDefault="0028130D" w:rsidP="0028130D">
      <w:pPr>
        <w:numPr>
          <w:ilvl w:val="0"/>
          <w:numId w:val="29"/>
        </w:numPr>
      </w:pPr>
      <w:r w:rsidRPr="0028130D">
        <w:t xml:space="preserve">Patrón: El perfil más frecuente en PVIH es la dislipemia </w:t>
      </w:r>
      <w:proofErr w:type="spellStart"/>
      <w:r w:rsidRPr="0028130D">
        <w:t>aterogénica</w:t>
      </w:r>
      <w:proofErr w:type="spellEnd"/>
      <w:r w:rsidRPr="0028130D">
        <w:t xml:space="preserve"> (HDL bajo, triglicéridos altos).</w:t>
      </w:r>
    </w:p>
    <w:p w14:paraId="7A62B339" w14:textId="77777777" w:rsidR="0028130D" w:rsidRPr="0028130D" w:rsidRDefault="0028130D" w:rsidP="0028130D">
      <w:pPr>
        <w:numPr>
          <w:ilvl w:val="0"/>
          <w:numId w:val="29"/>
        </w:numPr>
      </w:pPr>
      <w:r w:rsidRPr="0028130D">
        <w:t>Uso de Estatinas: Basado en el reciente ensayo REPRIEVE, la guía establece que la indicación de estatinas para prevención primaria abarca no solo a pacientes de alto riesgo, sino también a PVIH con riesgo cardiovascular moderado o bajo.</w:t>
      </w:r>
    </w:p>
    <w:p w14:paraId="37827FED" w14:textId="77777777" w:rsidR="0028130D" w:rsidRPr="0028130D" w:rsidRDefault="0028130D" w:rsidP="0028130D">
      <w:pPr>
        <w:numPr>
          <w:ilvl w:val="0"/>
          <w:numId w:val="29"/>
        </w:numPr>
      </w:pPr>
      <w:r w:rsidRPr="0028130D">
        <w:t>Manejo del TAR: Algunos inhibidores de la proteasa aumentan los lípidos, mientras que otros antirretrovirales tienen perfiles más neutros. A veces es necesario adaptar el TAR para evitar interacciones que impidan usar estatinas a la dosis requerida.</w:t>
      </w:r>
    </w:p>
    <w:p w14:paraId="2472886E" w14:textId="77777777" w:rsidR="0028130D" w:rsidRPr="0028130D" w:rsidRDefault="0028130D" w:rsidP="0028130D">
      <w:pPr>
        <w:rPr>
          <w:b/>
          <w:bCs/>
        </w:rPr>
      </w:pPr>
      <w:r w:rsidRPr="0028130D">
        <w:rPr>
          <w:b/>
          <w:bCs/>
        </w:rPr>
        <w:t>6. Riesgo Cardiovascular Aterosclerótico</w:t>
      </w:r>
    </w:p>
    <w:p w14:paraId="58E8BBED" w14:textId="77777777" w:rsidR="0028130D" w:rsidRPr="0028130D" w:rsidRDefault="0028130D" w:rsidP="0028130D">
      <w:pPr>
        <w:numPr>
          <w:ilvl w:val="0"/>
          <w:numId w:val="30"/>
        </w:numPr>
      </w:pPr>
      <w:r w:rsidRPr="0028130D">
        <w:t>Evaluación del Riesgo: Se recomienda calcular el riesgo cardiovascular anualmente en personas mayores de 40 años utilizando la escala ASCVD (</w:t>
      </w:r>
      <w:proofErr w:type="spellStart"/>
      <w:r w:rsidRPr="0028130D">
        <w:t>Atherosclerotic</w:t>
      </w:r>
      <w:proofErr w:type="spellEnd"/>
      <w:r w:rsidRPr="0028130D">
        <w:t xml:space="preserve"> Cardiovascular </w:t>
      </w:r>
      <w:proofErr w:type="spellStart"/>
      <w:r w:rsidRPr="0028130D">
        <w:t>Disease</w:t>
      </w:r>
      <w:proofErr w:type="spellEnd"/>
      <w:r w:rsidRPr="0028130D">
        <w:t>) o las escalas europeas SCORE2/SCORE-OP.</w:t>
      </w:r>
    </w:p>
    <w:p w14:paraId="737E5660" w14:textId="77777777" w:rsidR="0028130D" w:rsidRPr="0028130D" w:rsidRDefault="0028130D" w:rsidP="0028130D">
      <w:pPr>
        <w:numPr>
          <w:ilvl w:val="0"/>
          <w:numId w:val="30"/>
        </w:numPr>
      </w:pPr>
      <w:r w:rsidRPr="0028130D">
        <w:t>Prevención Primaria: Se recomienda usar estatinas (</w:t>
      </w:r>
      <w:proofErr w:type="spellStart"/>
      <w:r w:rsidRPr="0028130D">
        <w:t>pitavastatina</w:t>
      </w:r>
      <w:proofErr w:type="spellEnd"/>
      <w:r w:rsidRPr="0028130D">
        <w:t>, atorvastatina o rosuvastatina) de intensidad moderada en adultos de 40-75 años con un riesgo cardiovascular del 5-20%.</w:t>
      </w:r>
    </w:p>
    <w:p w14:paraId="50C49490" w14:textId="77777777" w:rsidR="0028130D" w:rsidRPr="0028130D" w:rsidRDefault="0028130D" w:rsidP="0028130D">
      <w:pPr>
        <w:numPr>
          <w:ilvl w:val="0"/>
          <w:numId w:val="30"/>
        </w:numPr>
      </w:pPr>
      <w:r w:rsidRPr="0028130D">
        <w:t>Factores de Riesgo Específicos: Se desaconseja explícitamente el uso del antirretroviral abacavir, ya que tiene un efecto intrínseco de aumento del riesgo cardiovascular. Además, existen "potenciadores de riesgo" propios del VIH (como viremia prolongada, CD4 bajos o historia de fracaso virológico) que el médico debe usar para reclasificar al alza el nivel de riesgo de un paciente.</w:t>
      </w:r>
    </w:p>
    <w:p w14:paraId="72BD745D" w14:textId="77777777" w:rsidR="002135E4" w:rsidRPr="002135E4" w:rsidRDefault="002135E4" w:rsidP="00A663C9">
      <w:pPr>
        <w:rPr>
          <w:b/>
          <w:bCs/>
          <w:sz w:val="24"/>
          <w:szCs w:val="24"/>
        </w:rPr>
      </w:pPr>
    </w:p>
    <w:sectPr w:rsidR="002135E4" w:rsidRPr="002135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82A"/>
    <w:multiLevelType w:val="multilevel"/>
    <w:tmpl w:val="BB4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FBC"/>
    <w:multiLevelType w:val="multilevel"/>
    <w:tmpl w:val="9804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0E7E"/>
    <w:multiLevelType w:val="multilevel"/>
    <w:tmpl w:val="407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5795"/>
    <w:multiLevelType w:val="multilevel"/>
    <w:tmpl w:val="57F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C2A34"/>
    <w:multiLevelType w:val="multilevel"/>
    <w:tmpl w:val="70D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E5C3D"/>
    <w:multiLevelType w:val="multilevel"/>
    <w:tmpl w:val="B2C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63558"/>
    <w:multiLevelType w:val="multilevel"/>
    <w:tmpl w:val="684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E5962"/>
    <w:multiLevelType w:val="multilevel"/>
    <w:tmpl w:val="8F7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36536"/>
    <w:multiLevelType w:val="multilevel"/>
    <w:tmpl w:val="38E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74067"/>
    <w:multiLevelType w:val="multilevel"/>
    <w:tmpl w:val="E506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42967"/>
    <w:multiLevelType w:val="multilevel"/>
    <w:tmpl w:val="359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E64B0"/>
    <w:multiLevelType w:val="multilevel"/>
    <w:tmpl w:val="267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51DF9"/>
    <w:multiLevelType w:val="multilevel"/>
    <w:tmpl w:val="1DF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405B1"/>
    <w:multiLevelType w:val="multilevel"/>
    <w:tmpl w:val="121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B2B08"/>
    <w:multiLevelType w:val="multilevel"/>
    <w:tmpl w:val="3CA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674D0"/>
    <w:multiLevelType w:val="multilevel"/>
    <w:tmpl w:val="42C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E6BE0"/>
    <w:multiLevelType w:val="multilevel"/>
    <w:tmpl w:val="92F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36269"/>
    <w:multiLevelType w:val="multilevel"/>
    <w:tmpl w:val="5934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06C75"/>
    <w:multiLevelType w:val="multilevel"/>
    <w:tmpl w:val="164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D5F19"/>
    <w:multiLevelType w:val="multilevel"/>
    <w:tmpl w:val="03F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4625C"/>
    <w:multiLevelType w:val="multilevel"/>
    <w:tmpl w:val="41FE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738CE"/>
    <w:multiLevelType w:val="multilevel"/>
    <w:tmpl w:val="F5F2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57F92"/>
    <w:multiLevelType w:val="multilevel"/>
    <w:tmpl w:val="98D49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4270C0"/>
    <w:multiLevelType w:val="multilevel"/>
    <w:tmpl w:val="75CA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235885"/>
    <w:multiLevelType w:val="multilevel"/>
    <w:tmpl w:val="662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44C35"/>
    <w:multiLevelType w:val="multilevel"/>
    <w:tmpl w:val="8B3C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979C5"/>
    <w:multiLevelType w:val="multilevel"/>
    <w:tmpl w:val="AB6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86116"/>
    <w:multiLevelType w:val="multilevel"/>
    <w:tmpl w:val="883E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F6A15"/>
    <w:multiLevelType w:val="multilevel"/>
    <w:tmpl w:val="DB5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25B1B"/>
    <w:multiLevelType w:val="multilevel"/>
    <w:tmpl w:val="EE4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D2155"/>
    <w:multiLevelType w:val="multilevel"/>
    <w:tmpl w:val="FB86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807CA"/>
    <w:multiLevelType w:val="multilevel"/>
    <w:tmpl w:val="EEA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24581"/>
    <w:multiLevelType w:val="multilevel"/>
    <w:tmpl w:val="451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E3F1B"/>
    <w:multiLevelType w:val="multilevel"/>
    <w:tmpl w:val="3C3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8E40EE"/>
    <w:multiLevelType w:val="multilevel"/>
    <w:tmpl w:val="72A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E0EB5"/>
    <w:multiLevelType w:val="multilevel"/>
    <w:tmpl w:val="B438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15B07"/>
    <w:multiLevelType w:val="multilevel"/>
    <w:tmpl w:val="A7E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92214"/>
    <w:multiLevelType w:val="multilevel"/>
    <w:tmpl w:val="3CF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32191"/>
    <w:multiLevelType w:val="multilevel"/>
    <w:tmpl w:val="CA8C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C5A83"/>
    <w:multiLevelType w:val="multilevel"/>
    <w:tmpl w:val="166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71355"/>
    <w:multiLevelType w:val="multilevel"/>
    <w:tmpl w:val="9CC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5727F"/>
    <w:multiLevelType w:val="multilevel"/>
    <w:tmpl w:val="65D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908B4"/>
    <w:multiLevelType w:val="multilevel"/>
    <w:tmpl w:val="048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A7162"/>
    <w:multiLevelType w:val="multilevel"/>
    <w:tmpl w:val="260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50278"/>
    <w:multiLevelType w:val="multilevel"/>
    <w:tmpl w:val="D6A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66617"/>
    <w:multiLevelType w:val="multilevel"/>
    <w:tmpl w:val="7F4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B0C1B"/>
    <w:multiLevelType w:val="multilevel"/>
    <w:tmpl w:val="2A9E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F1402"/>
    <w:multiLevelType w:val="multilevel"/>
    <w:tmpl w:val="8DF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CB74C4"/>
    <w:multiLevelType w:val="multilevel"/>
    <w:tmpl w:val="A82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A7E8A"/>
    <w:multiLevelType w:val="multilevel"/>
    <w:tmpl w:val="8D7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A45506"/>
    <w:multiLevelType w:val="multilevel"/>
    <w:tmpl w:val="30B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37C57"/>
    <w:multiLevelType w:val="multilevel"/>
    <w:tmpl w:val="D46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D04838"/>
    <w:multiLevelType w:val="multilevel"/>
    <w:tmpl w:val="8E6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870152">
    <w:abstractNumId w:val="47"/>
  </w:num>
  <w:num w:numId="2" w16cid:durableId="1472013367">
    <w:abstractNumId w:val="29"/>
  </w:num>
  <w:num w:numId="3" w16cid:durableId="970206161">
    <w:abstractNumId w:val="3"/>
  </w:num>
  <w:num w:numId="4" w16cid:durableId="85930557">
    <w:abstractNumId w:val="18"/>
  </w:num>
  <w:num w:numId="5" w16cid:durableId="1807698823">
    <w:abstractNumId w:val="33"/>
  </w:num>
  <w:num w:numId="6" w16cid:durableId="1630672958">
    <w:abstractNumId w:val="22"/>
  </w:num>
  <w:num w:numId="7" w16cid:durableId="1300763402">
    <w:abstractNumId w:val="23"/>
  </w:num>
  <w:num w:numId="8" w16cid:durableId="1224870365">
    <w:abstractNumId w:val="8"/>
  </w:num>
  <w:num w:numId="9" w16cid:durableId="1875117734">
    <w:abstractNumId w:val="0"/>
  </w:num>
  <w:num w:numId="10" w16cid:durableId="362948457">
    <w:abstractNumId w:val="24"/>
  </w:num>
  <w:num w:numId="11" w16cid:durableId="1858958343">
    <w:abstractNumId w:val="7"/>
  </w:num>
  <w:num w:numId="12" w16cid:durableId="1876652369">
    <w:abstractNumId w:val="43"/>
  </w:num>
  <w:num w:numId="13" w16cid:durableId="766848266">
    <w:abstractNumId w:val="48"/>
  </w:num>
  <w:num w:numId="14" w16cid:durableId="1454908102">
    <w:abstractNumId w:val="4"/>
  </w:num>
  <w:num w:numId="15" w16cid:durableId="1651325156">
    <w:abstractNumId w:val="25"/>
  </w:num>
  <w:num w:numId="16" w16cid:durableId="1975792104">
    <w:abstractNumId w:val="10"/>
  </w:num>
  <w:num w:numId="17" w16cid:durableId="860121953">
    <w:abstractNumId w:val="27"/>
  </w:num>
  <w:num w:numId="18" w16cid:durableId="985624159">
    <w:abstractNumId w:val="13"/>
  </w:num>
  <w:num w:numId="19" w16cid:durableId="184101487">
    <w:abstractNumId w:val="51"/>
  </w:num>
  <w:num w:numId="20" w16cid:durableId="506864502">
    <w:abstractNumId w:val="21"/>
  </w:num>
  <w:num w:numId="21" w16cid:durableId="1763994082">
    <w:abstractNumId w:val="20"/>
  </w:num>
  <w:num w:numId="22" w16cid:durableId="367488698">
    <w:abstractNumId w:val="32"/>
  </w:num>
  <w:num w:numId="23" w16cid:durableId="2110733309">
    <w:abstractNumId w:val="12"/>
  </w:num>
  <w:num w:numId="24" w16cid:durableId="1569799686">
    <w:abstractNumId w:val="6"/>
  </w:num>
  <w:num w:numId="25" w16cid:durableId="2061859340">
    <w:abstractNumId w:val="37"/>
  </w:num>
  <w:num w:numId="26" w16cid:durableId="70392624">
    <w:abstractNumId w:val="45"/>
  </w:num>
  <w:num w:numId="27" w16cid:durableId="1680542880">
    <w:abstractNumId w:val="16"/>
  </w:num>
  <w:num w:numId="28" w16cid:durableId="1177233629">
    <w:abstractNumId w:val="49"/>
  </w:num>
  <w:num w:numId="29" w16cid:durableId="1444109621">
    <w:abstractNumId w:val="36"/>
  </w:num>
  <w:num w:numId="30" w16cid:durableId="340590916">
    <w:abstractNumId w:val="2"/>
  </w:num>
  <w:num w:numId="31" w16cid:durableId="485702414">
    <w:abstractNumId w:val="44"/>
  </w:num>
  <w:num w:numId="32" w16cid:durableId="1987858820">
    <w:abstractNumId w:val="30"/>
  </w:num>
  <w:num w:numId="33" w16cid:durableId="466359155">
    <w:abstractNumId w:val="52"/>
  </w:num>
  <w:num w:numId="34" w16cid:durableId="712382853">
    <w:abstractNumId w:val="26"/>
  </w:num>
  <w:num w:numId="35" w16cid:durableId="928386891">
    <w:abstractNumId w:val="19"/>
  </w:num>
  <w:num w:numId="36" w16cid:durableId="208617037">
    <w:abstractNumId w:val="42"/>
  </w:num>
  <w:num w:numId="37" w16cid:durableId="355809245">
    <w:abstractNumId w:val="17"/>
  </w:num>
  <w:num w:numId="38" w16cid:durableId="2080983076">
    <w:abstractNumId w:val="35"/>
  </w:num>
  <w:num w:numId="39" w16cid:durableId="1397511127">
    <w:abstractNumId w:val="38"/>
  </w:num>
  <w:num w:numId="40" w16cid:durableId="1473672132">
    <w:abstractNumId w:val="11"/>
  </w:num>
  <w:num w:numId="41" w16cid:durableId="1613434478">
    <w:abstractNumId w:val="41"/>
  </w:num>
  <w:num w:numId="42" w16cid:durableId="1247958541">
    <w:abstractNumId w:val="40"/>
  </w:num>
  <w:num w:numId="43" w16cid:durableId="214397265">
    <w:abstractNumId w:val="1"/>
  </w:num>
  <w:num w:numId="44" w16cid:durableId="909122166">
    <w:abstractNumId w:val="46"/>
  </w:num>
  <w:num w:numId="45" w16cid:durableId="1121461525">
    <w:abstractNumId w:val="31"/>
  </w:num>
  <w:num w:numId="46" w16cid:durableId="953681223">
    <w:abstractNumId w:val="39"/>
  </w:num>
  <w:num w:numId="47" w16cid:durableId="1665934839">
    <w:abstractNumId w:val="5"/>
  </w:num>
  <w:num w:numId="48" w16cid:durableId="1759129180">
    <w:abstractNumId w:val="15"/>
  </w:num>
  <w:num w:numId="49" w16cid:durableId="728920125">
    <w:abstractNumId w:val="28"/>
  </w:num>
  <w:num w:numId="50" w16cid:durableId="1831364126">
    <w:abstractNumId w:val="9"/>
  </w:num>
  <w:num w:numId="51" w16cid:durableId="1800609497">
    <w:abstractNumId w:val="34"/>
  </w:num>
  <w:num w:numId="52" w16cid:durableId="1084108101">
    <w:abstractNumId w:val="14"/>
  </w:num>
  <w:num w:numId="53" w16cid:durableId="46894007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C9"/>
    <w:rsid w:val="00080A1C"/>
    <w:rsid w:val="00093AD0"/>
    <w:rsid w:val="001C4A46"/>
    <w:rsid w:val="002135E4"/>
    <w:rsid w:val="0028130D"/>
    <w:rsid w:val="005976B2"/>
    <w:rsid w:val="005A48AD"/>
    <w:rsid w:val="005C71E9"/>
    <w:rsid w:val="00873A6D"/>
    <w:rsid w:val="00875F98"/>
    <w:rsid w:val="00A663C9"/>
    <w:rsid w:val="00AF3B1B"/>
    <w:rsid w:val="00BA0762"/>
    <w:rsid w:val="00BD6EA8"/>
    <w:rsid w:val="00E70E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3950"/>
  <w15:chartTrackingRefBased/>
  <w15:docId w15:val="{C7162E63-95A1-4096-BA66-CF519644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6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66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663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63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63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63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63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63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63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3C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663C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663C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63C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63C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63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63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63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63C9"/>
    <w:rPr>
      <w:rFonts w:eastAsiaTheme="majorEastAsia" w:cstheme="majorBidi"/>
      <w:color w:val="272727" w:themeColor="text1" w:themeTint="D8"/>
    </w:rPr>
  </w:style>
  <w:style w:type="paragraph" w:styleId="Ttulo">
    <w:name w:val="Title"/>
    <w:basedOn w:val="Normal"/>
    <w:next w:val="Normal"/>
    <w:link w:val="TtuloCar"/>
    <w:uiPriority w:val="10"/>
    <w:qFormat/>
    <w:rsid w:val="00A6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63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63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63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63C9"/>
    <w:pPr>
      <w:spacing w:before="160"/>
      <w:jc w:val="center"/>
    </w:pPr>
    <w:rPr>
      <w:i/>
      <w:iCs/>
      <w:color w:val="404040" w:themeColor="text1" w:themeTint="BF"/>
    </w:rPr>
  </w:style>
  <w:style w:type="character" w:customStyle="1" w:styleId="CitaCar">
    <w:name w:val="Cita Car"/>
    <w:basedOn w:val="Fuentedeprrafopredeter"/>
    <w:link w:val="Cita"/>
    <w:uiPriority w:val="29"/>
    <w:rsid w:val="00A663C9"/>
    <w:rPr>
      <w:i/>
      <w:iCs/>
      <w:color w:val="404040" w:themeColor="text1" w:themeTint="BF"/>
    </w:rPr>
  </w:style>
  <w:style w:type="paragraph" w:styleId="Prrafodelista">
    <w:name w:val="List Paragraph"/>
    <w:basedOn w:val="Normal"/>
    <w:uiPriority w:val="34"/>
    <w:qFormat/>
    <w:rsid w:val="00A663C9"/>
    <w:pPr>
      <w:ind w:left="720"/>
      <w:contextualSpacing/>
    </w:pPr>
  </w:style>
  <w:style w:type="character" w:styleId="nfasisintenso">
    <w:name w:val="Intense Emphasis"/>
    <w:basedOn w:val="Fuentedeprrafopredeter"/>
    <w:uiPriority w:val="21"/>
    <w:qFormat/>
    <w:rsid w:val="00A663C9"/>
    <w:rPr>
      <w:i/>
      <w:iCs/>
      <w:color w:val="2F5496" w:themeColor="accent1" w:themeShade="BF"/>
    </w:rPr>
  </w:style>
  <w:style w:type="paragraph" w:styleId="Citadestacada">
    <w:name w:val="Intense Quote"/>
    <w:basedOn w:val="Normal"/>
    <w:next w:val="Normal"/>
    <w:link w:val="CitadestacadaCar"/>
    <w:uiPriority w:val="30"/>
    <w:qFormat/>
    <w:rsid w:val="00A66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63C9"/>
    <w:rPr>
      <w:i/>
      <w:iCs/>
      <w:color w:val="2F5496" w:themeColor="accent1" w:themeShade="BF"/>
    </w:rPr>
  </w:style>
  <w:style w:type="character" w:styleId="Referenciaintensa">
    <w:name w:val="Intense Reference"/>
    <w:basedOn w:val="Fuentedeprrafopredeter"/>
    <w:uiPriority w:val="32"/>
    <w:qFormat/>
    <w:rsid w:val="00A66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16</Pages>
  <Words>4667</Words>
  <Characters>25669</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Rodríguez Melgar</dc:creator>
  <cp:keywords/>
  <dc:description/>
  <cp:lastModifiedBy>Víctor Rodríguez Melgar</cp:lastModifiedBy>
  <cp:revision>2</cp:revision>
  <dcterms:created xsi:type="dcterms:W3CDTF">2026-04-08T10:38:00Z</dcterms:created>
  <dcterms:modified xsi:type="dcterms:W3CDTF">2026-04-08T15:13:00Z</dcterms:modified>
</cp:coreProperties>
</file>