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ABFC7" w14:textId="4B513C11" w:rsidR="00093AD0" w:rsidRDefault="00D60AE2" w:rsidP="00D60AE2">
      <w:pPr>
        <w:pStyle w:val="Ttulo"/>
        <w:jc w:val="center"/>
        <w:rPr>
          <w:rFonts w:ascii="Arial Black" w:hAnsi="Arial Black"/>
        </w:rPr>
      </w:pPr>
      <w:r w:rsidRPr="00D60AE2">
        <w:rPr>
          <w:rFonts w:ascii="Arial Black" w:hAnsi="Arial Black"/>
        </w:rPr>
        <w:t xml:space="preserve">Posibles Preguntas </w:t>
      </w:r>
      <w:proofErr w:type="spellStart"/>
      <w:r w:rsidRPr="00D60AE2">
        <w:rPr>
          <w:rFonts w:ascii="Arial Black" w:hAnsi="Arial Black"/>
        </w:rPr>
        <w:t>Chatbot</w:t>
      </w:r>
      <w:proofErr w:type="spellEnd"/>
      <w:r w:rsidRPr="00D60AE2">
        <w:rPr>
          <w:rFonts w:ascii="Arial Black" w:hAnsi="Arial Black"/>
        </w:rPr>
        <w:t xml:space="preserve"> VIH médico</w:t>
      </w:r>
    </w:p>
    <w:p w14:paraId="16BE4D92" w14:textId="77777777" w:rsidR="00D60AE2" w:rsidRDefault="00D60AE2" w:rsidP="00D60AE2"/>
    <w:p w14:paraId="67981F5A" w14:textId="1C87784F" w:rsidR="00D60AE2" w:rsidRPr="00D60AE2" w:rsidRDefault="00D60AE2" w:rsidP="00D60AE2">
      <w:pPr>
        <w:rPr>
          <w:b/>
          <w:bCs/>
          <w:sz w:val="24"/>
          <w:szCs w:val="24"/>
        </w:rPr>
      </w:pPr>
      <w:r w:rsidRPr="00D60AE2">
        <w:rPr>
          <w:b/>
          <w:bCs/>
          <w:sz w:val="24"/>
          <w:szCs w:val="24"/>
        </w:rPr>
        <w:t>Propuestas por el médico:</w:t>
      </w:r>
    </w:p>
    <w:p w14:paraId="3D7B20AE" w14:textId="77777777" w:rsidR="00D60AE2" w:rsidRPr="00D60AE2" w:rsidRDefault="00D60AE2" w:rsidP="00D60AE2">
      <w:r w:rsidRPr="00D60AE2">
        <w:t>1. En un paciente con VIH con carga viral indetectable en DTG/3TC, ¿qué factores obligarían a no mantener una terapia dual según las recomendaciones actuales?</w:t>
      </w:r>
    </w:p>
    <w:p w14:paraId="37A183D6" w14:textId="77777777" w:rsidR="00D60AE2" w:rsidRPr="00D60AE2" w:rsidRDefault="00D60AE2" w:rsidP="00D60AE2">
      <w:r w:rsidRPr="00D60AE2">
        <w:t>2. ¿Qué pruebas deben realizarse antes de iniciar abacavir y qué ocurriría si el resultado no está disponible en un paciente con infección aguda?</w:t>
      </w:r>
    </w:p>
    <w:p w14:paraId="4A4B6D4D" w14:textId="77777777" w:rsidR="00D60AE2" w:rsidRPr="00D60AE2" w:rsidRDefault="00D60AE2" w:rsidP="00D60AE2">
      <w:r w:rsidRPr="00D60AE2">
        <w:t>3. Si un paciente con VIH tiene fracaso virológico con viremias bajas persistentes, ¿cuál es el algoritmo recomendado antes de cambiar TAR?</w:t>
      </w:r>
    </w:p>
    <w:p w14:paraId="4AAD0487" w14:textId="77777777" w:rsidR="00D60AE2" w:rsidRPr="00D60AE2" w:rsidRDefault="00D60AE2" w:rsidP="00D60AE2">
      <w:r w:rsidRPr="00D60AE2">
        <w:t>4. ¿Por qué la adherencia subóptima puede generar resistencia incluso cuando la carga viral se mantiene relativamente baja?</w:t>
      </w:r>
    </w:p>
    <w:p w14:paraId="6A939BE9" w14:textId="77777777" w:rsidR="00D60AE2" w:rsidRPr="00D60AE2" w:rsidRDefault="00D60AE2" w:rsidP="00D60AE2">
      <w:r w:rsidRPr="00D60AE2">
        <w:t xml:space="preserve">5. ¿En qué situaciones clínicas se recomienda no reducir a regímenes de menos de tres </w:t>
      </w:r>
      <w:proofErr w:type="gramStart"/>
      <w:r w:rsidRPr="00D60AE2">
        <w:t>fármacos</w:t>
      </w:r>
      <w:proofErr w:type="gramEnd"/>
      <w:r w:rsidRPr="00D60AE2">
        <w:t xml:space="preserve"> aunque el paciente esté suprimido?</w:t>
      </w:r>
    </w:p>
    <w:p w14:paraId="3BD136ED" w14:textId="77777777" w:rsidR="00D60AE2" w:rsidRPr="00D60AE2" w:rsidRDefault="00D60AE2" w:rsidP="00D60AE2">
      <w:r w:rsidRPr="00D60AE2">
        <w:t>6. ¿Qué problemas farmacológicos surgen al tratar tuberculosis con rifampicina en un paciente que toma inhibidores de integrasa?</w:t>
      </w:r>
    </w:p>
    <w:p w14:paraId="6434F08C" w14:textId="77777777" w:rsidR="00D60AE2" w:rsidRPr="00D60AE2" w:rsidRDefault="00D60AE2" w:rsidP="00D60AE2">
      <w:r w:rsidRPr="00D60AE2">
        <w:t>7. Cuál es el momento óptimo para iniciar TAR en un paciente con VIH que presenta tuberculosis activa y CD4 muy bajos?</w:t>
      </w:r>
    </w:p>
    <w:p w14:paraId="5DFD0B84" w14:textId="77777777" w:rsidR="00D60AE2" w:rsidRPr="00D60AE2" w:rsidRDefault="00D60AE2" w:rsidP="00D60AE2">
      <w:r w:rsidRPr="00D60AE2">
        <w:t>8. ¿Por qué algunos antirretrovirales deben evitarse en pacientes con insuficiencia renal significativa?</w:t>
      </w:r>
    </w:p>
    <w:p w14:paraId="4FAFACEE" w14:textId="77777777" w:rsidR="00D60AE2" w:rsidRPr="00D60AE2" w:rsidRDefault="00D60AE2" w:rsidP="00D60AE2">
      <w:r w:rsidRPr="00D60AE2">
        <w:t>9. ¿Qué implicaciones tiene la infección por VIH-2 en la elección del tratamiento inicial?</w:t>
      </w:r>
    </w:p>
    <w:p w14:paraId="218A0878" w14:textId="77777777" w:rsidR="00D60AE2" w:rsidRPr="00D60AE2" w:rsidRDefault="00D60AE2" w:rsidP="00D60AE2">
      <w:r w:rsidRPr="00D60AE2">
        <w:t>10. En un paciente con infección aguda por VIH, ¿por qué iniciar TAR inmediatamente puede tener beneficios inmunológicos y epidemiológicos?</w:t>
      </w:r>
    </w:p>
    <w:p w14:paraId="4773AD8C" w14:textId="77777777" w:rsidR="00D60AE2" w:rsidRPr="00D60AE2" w:rsidRDefault="00D60AE2" w:rsidP="00D60AE2">
      <w:r w:rsidRPr="00D60AE2">
        <w:t xml:space="preserve">11. ¿En qué situaciones no se recomienda profilaxis </w:t>
      </w:r>
      <w:proofErr w:type="spellStart"/>
      <w:r w:rsidRPr="00D60AE2">
        <w:t>postexposición</w:t>
      </w:r>
      <w:proofErr w:type="spellEnd"/>
      <w:r w:rsidRPr="00D60AE2">
        <w:t xml:space="preserve"> (PEP) aunque haya contacto con fluidos potencialmente infecciosos?</w:t>
      </w:r>
    </w:p>
    <w:p w14:paraId="3BD5B86A" w14:textId="77777777" w:rsidR="00D60AE2" w:rsidRPr="00D60AE2" w:rsidRDefault="00D60AE2" w:rsidP="00D60AE2">
      <w:r w:rsidRPr="00D60AE2">
        <w:t>12. ¿Qué factores determinan el riesgo de transmisión de VIH tras una exposición ocupacional?</w:t>
      </w:r>
    </w:p>
    <w:p w14:paraId="11108B35" w14:textId="77777777" w:rsidR="00D60AE2" w:rsidRPr="00D60AE2" w:rsidRDefault="00D60AE2" w:rsidP="00D60AE2">
      <w:r w:rsidRPr="00D60AE2">
        <w:t xml:space="preserve">13. ¿Por qué la profilaxis </w:t>
      </w:r>
      <w:proofErr w:type="spellStart"/>
      <w:r w:rsidRPr="00D60AE2">
        <w:t>postexposición</w:t>
      </w:r>
      <w:proofErr w:type="spellEnd"/>
      <w:r w:rsidRPr="00D60AE2">
        <w:t xml:space="preserve"> debe iniciarse idealmente antes de 72 horas y qué ocurre si se inicia después?</w:t>
      </w:r>
    </w:p>
    <w:p w14:paraId="42B93BC8" w14:textId="77777777" w:rsidR="00D60AE2" w:rsidRPr="00D60AE2" w:rsidRDefault="00D60AE2" w:rsidP="00D60AE2">
      <w:r w:rsidRPr="00D60AE2">
        <w:t>14. ¿Qué vacunas están contraindicadas o deben evaluarse con precaución en personas con VIH con CD4 bajos?</w:t>
      </w:r>
    </w:p>
    <w:p w14:paraId="57374517" w14:textId="77777777" w:rsidR="00D60AE2" w:rsidRPr="00D60AE2" w:rsidRDefault="00D60AE2" w:rsidP="00D60AE2">
      <w:r w:rsidRPr="00D60AE2">
        <w:t>15. ¿Qué factores inmunológicos pueden disminuir la inmunogenicidad de las vacunas en pacientes con VIH?</w:t>
      </w:r>
    </w:p>
    <w:p w14:paraId="7E627099" w14:textId="77777777" w:rsidR="00D60AE2" w:rsidRPr="00D60AE2" w:rsidRDefault="00D60AE2" w:rsidP="00D60AE2">
      <w:r w:rsidRPr="00D60AE2">
        <w:t xml:space="preserve">16. Si un paciente tiene carga viral </w:t>
      </w:r>
      <w:proofErr w:type="gramStart"/>
      <w:r w:rsidRPr="00D60AE2">
        <w:t>indetectable</w:t>
      </w:r>
      <w:proofErr w:type="gramEnd"/>
      <w:r w:rsidRPr="00D60AE2">
        <w:t xml:space="preserve"> pero adherencia irregular, ¿puede seguir transmitiendo VIH?</w:t>
      </w:r>
    </w:p>
    <w:p w14:paraId="21869758" w14:textId="77777777" w:rsidR="00D60AE2" w:rsidRPr="00D60AE2" w:rsidRDefault="00D60AE2" w:rsidP="00D60AE2">
      <w:r w:rsidRPr="00D60AE2">
        <w:lastRenderedPageBreak/>
        <w:t xml:space="preserve">17. ¿Puede un paciente con CD4 normales tener igualmente deterioro </w:t>
      </w:r>
      <w:proofErr w:type="spellStart"/>
      <w:r w:rsidRPr="00D60AE2">
        <w:t>neurocognitivoasociadas</w:t>
      </w:r>
      <w:proofErr w:type="spellEnd"/>
      <w:r w:rsidRPr="00D60AE2">
        <w:t xml:space="preserve"> al VIH?</w:t>
      </w:r>
    </w:p>
    <w:p w14:paraId="4368C4E3" w14:textId="77777777" w:rsidR="00D60AE2" w:rsidRPr="00D60AE2" w:rsidRDefault="00D60AE2" w:rsidP="00D60AE2">
      <w:r w:rsidRPr="00D60AE2">
        <w:t xml:space="preserve">18. Si la adherencia es </w:t>
      </w:r>
      <w:proofErr w:type="gramStart"/>
      <w:r w:rsidRPr="00D60AE2">
        <w:t>alta</w:t>
      </w:r>
      <w:proofErr w:type="gramEnd"/>
      <w:r w:rsidRPr="00D60AE2">
        <w:t xml:space="preserve"> pero encontramos un fracaso virológico, ¿qué causas no relacionadas con adherencia deben investigarse?</w:t>
      </w:r>
    </w:p>
    <w:p w14:paraId="255621F7" w14:textId="77777777" w:rsidR="00D60AE2" w:rsidRPr="00D60AE2" w:rsidRDefault="00D60AE2" w:rsidP="00D60AE2">
      <w:r w:rsidRPr="00D60AE2">
        <w:t>19. ¿Por qué la introducción del TAR redujo la incidencia de demencia asociada al VIH, pero no eliminó los trastornos neurocognitivos?</w:t>
      </w:r>
    </w:p>
    <w:p w14:paraId="7461D0FA" w14:textId="77777777" w:rsidR="00D60AE2" w:rsidRPr="00D60AE2" w:rsidRDefault="00D60AE2" w:rsidP="00D60AE2">
      <w:r w:rsidRPr="00D60AE2">
        <w:t>20. Si un paciente con VIH tiene carga viral indetectable en plasma, pero presenta replicación viral detectable en LCR, ¿puede desarrollar deterioro neurocognitivo relacionado con el VIH?</w:t>
      </w:r>
    </w:p>
    <w:p w14:paraId="679AF543" w14:textId="77777777" w:rsidR="00D60AE2" w:rsidRPr="00D60AE2" w:rsidRDefault="00D60AE2" w:rsidP="00D60AE2">
      <w:r w:rsidRPr="00D60AE2">
        <w:t>21. Si una persona con VIH mantiene carga viral indetectable durante años, ¿puede seguir teniendo inflamación crónica sistémica que aumente su riesgo cardiovascular?</w:t>
      </w:r>
    </w:p>
    <w:p w14:paraId="3EC001A7" w14:textId="77777777" w:rsidR="00D60AE2" w:rsidRPr="00D60AE2" w:rsidRDefault="00D60AE2" w:rsidP="00D60AE2">
      <w:r w:rsidRPr="00D60AE2">
        <w:t>22. ¿Puede un paciente con CD4 elevados y carga viral indetectable desarrollar trastornos neurocognitivos asociados al VIH (HAND), y qué mecanismos lo explicarían?</w:t>
      </w:r>
    </w:p>
    <w:p w14:paraId="670C363D" w14:textId="77777777" w:rsidR="00D60AE2" w:rsidRPr="00D60AE2" w:rsidRDefault="00D60AE2" w:rsidP="00D60AE2">
      <w:r w:rsidRPr="00D60AE2">
        <w:t>23. Si un paciente presenta fracaso virológico con buena adherencia documentada, ¿qué papel puede tener la resistencia viral preexistente o transmitida?</w:t>
      </w:r>
    </w:p>
    <w:p w14:paraId="5A89A271" w14:textId="77777777" w:rsidR="00D60AE2" w:rsidRPr="00D60AE2" w:rsidRDefault="00D60AE2" w:rsidP="00D60AE2">
      <w:r w:rsidRPr="00D60AE2">
        <w:t>Si un paciente tiene síndrome metabólico mientras toma TAR, ¿cómo diferenciar si la causa es:</w:t>
      </w:r>
    </w:p>
    <w:p w14:paraId="6D29B28C" w14:textId="77777777" w:rsidR="00D60AE2" w:rsidRPr="00D60AE2" w:rsidRDefault="00D60AE2" w:rsidP="00D60AE2">
      <w:r w:rsidRPr="00D60AE2">
        <w:t>- infección por VIH</w:t>
      </w:r>
    </w:p>
    <w:p w14:paraId="73B39B78" w14:textId="77777777" w:rsidR="00D60AE2" w:rsidRPr="00D60AE2" w:rsidRDefault="00D60AE2" w:rsidP="00D60AE2">
      <w:r w:rsidRPr="00D60AE2">
        <w:t>- efectos del tratamiento</w:t>
      </w:r>
    </w:p>
    <w:p w14:paraId="4C60391D" w14:textId="77777777" w:rsidR="00D60AE2" w:rsidRPr="00D60AE2" w:rsidRDefault="00D60AE2" w:rsidP="00D60AE2">
      <w:r w:rsidRPr="00D60AE2">
        <w:t>- factores clásicos de riesgo cardiovascular?</w:t>
      </w:r>
    </w:p>
    <w:p w14:paraId="227BE461" w14:textId="77777777" w:rsidR="00D60AE2" w:rsidRPr="00D60AE2" w:rsidRDefault="00D60AE2" w:rsidP="00D60AE2">
      <w:r w:rsidRPr="00D60AE2">
        <w:t xml:space="preserve">24. Si un paciente tiene carga </w:t>
      </w:r>
      <w:proofErr w:type="spellStart"/>
      <w:r w:rsidRPr="00D60AE2">
        <w:t>virale</w:t>
      </w:r>
      <w:proofErr w:type="spellEnd"/>
      <w:r w:rsidRPr="00D60AE2">
        <w:t xml:space="preserve"> </w:t>
      </w:r>
      <w:proofErr w:type="gramStart"/>
      <w:r w:rsidRPr="00D60AE2">
        <w:t>indetectable</w:t>
      </w:r>
      <w:proofErr w:type="gramEnd"/>
      <w:r w:rsidRPr="00D60AE2">
        <w:t xml:space="preserve"> pero con adherencia intermitente, ¿qué riesgo existe de:</w:t>
      </w:r>
    </w:p>
    <w:p w14:paraId="05F524B9" w14:textId="77777777" w:rsidR="00D60AE2" w:rsidRPr="00D60AE2" w:rsidRDefault="00D60AE2" w:rsidP="00D60AE2">
      <w:r w:rsidRPr="00D60AE2">
        <w:t>- rebote viral</w:t>
      </w:r>
    </w:p>
    <w:p w14:paraId="288E8BA0" w14:textId="77777777" w:rsidR="00D60AE2" w:rsidRPr="00D60AE2" w:rsidRDefault="00D60AE2" w:rsidP="00D60AE2">
      <w:r w:rsidRPr="00D60AE2">
        <w:t>- desarrollo de resistencia</w:t>
      </w:r>
    </w:p>
    <w:p w14:paraId="7F8F385C" w14:textId="77777777" w:rsidR="00D60AE2" w:rsidRPr="00D60AE2" w:rsidRDefault="00D60AE2" w:rsidP="00D60AE2">
      <w:r w:rsidRPr="00D60AE2">
        <w:t>- pérdida futura de supresión? virológica</w:t>
      </w:r>
    </w:p>
    <w:p w14:paraId="34722D50" w14:textId="77777777" w:rsidR="00D60AE2" w:rsidRPr="00D60AE2" w:rsidRDefault="00D60AE2" w:rsidP="00D60AE2">
      <w:r w:rsidRPr="00D60AE2">
        <w:t>25. Si un paciente con VIH tiene factores clásicos de riesgo cardiovascular controlados, ¿por qué sigue teniendo mayor riesgo de enfermedad cardiovascular que la población general?</w:t>
      </w:r>
    </w:p>
    <w:p w14:paraId="1B4134B3" w14:textId="77777777" w:rsidR="00D60AE2" w:rsidRPr="00D60AE2" w:rsidRDefault="00D60AE2" w:rsidP="00D60AE2">
      <w:r w:rsidRPr="00D60AE2">
        <w:t>26. ¿Puede un paciente con VIH con carga viral indetectable tener reservorios virales activos en tejidos, y qué implicaciones tiene esto para la curación del VIH?</w:t>
      </w:r>
    </w:p>
    <w:p w14:paraId="2F8F7A50" w14:textId="77777777" w:rsidR="00D60AE2" w:rsidRPr="00D60AE2" w:rsidRDefault="00D60AE2" w:rsidP="00D60AE2">
      <w:r w:rsidRPr="00D60AE2">
        <w:t>27. Si el TAR ha reducido drásticamente las complicaciones neurológicas graves del VIH, ¿por qué siguen observándose formas leves o moderadas de trastornos neurocognitivos en hasta un porcentaje significativo de pacientes?</w:t>
      </w:r>
    </w:p>
    <w:p w14:paraId="2E542D40" w14:textId="77777777" w:rsidR="00D60AE2" w:rsidRPr="00D60AE2" w:rsidRDefault="00D60AE2" w:rsidP="00D60AE2">
      <w:r w:rsidRPr="00D60AE2">
        <w:t>28. Si un paciente presenta fracaso virológico con viremia baja persistente (&lt;200 copias/</w:t>
      </w:r>
      <w:proofErr w:type="spellStart"/>
      <w:r w:rsidRPr="00D60AE2">
        <w:t>mL</w:t>
      </w:r>
      <w:proofErr w:type="spellEnd"/>
      <w:r w:rsidRPr="00D60AE2">
        <w:t>), ¿es obligatorio cambiar el tratamiento o primero deben evaluarse otros factores?</w:t>
      </w:r>
    </w:p>
    <w:p w14:paraId="6E58B016" w14:textId="77777777" w:rsidR="00D60AE2" w:rsidRPr="00D60AE2" w:rsidRDefault="00D60AE2" w:rsidP="00D60AE2">
      <w:r w:rsidRPr="00D60AE2">
        <w:t>29. En un paciente con historia de fracaso previo con ITINN, ¿es seguro cambiar a CAB+RPV inyectable si actualmente está suprimido?</w:t>
      </w:r>
    </w:p>
    <w:p w14:paraId="5B6832E7" w14:textId="77777777" w:rsidR="00D60AE2" w:rsidRPr="00D60AE2" w:rsidRDefault="00D60AE2" w:rsidP="00D60AE2">
      <w:r w:rsidRPr="00D60AE2">
        <w:t>30. Si un paciente con VIH tiene insuficiencia renal avanzada, ¿qué antirretrovirales deberían evitarse o ajustarse de dosis?</w:t>
      </w:r>
    </w:p>
    <w:p w14:paraId="4775ABF2" w14:textId="77777777" w:rsidR="00D60AE2" w:rsidRPr="00D60AE2" w:rsidRDefault="00D60AE2" w:rsidP="00D60AE2">
      <w:r w:rsidRPr="00D60AE2">
        <w:lastRenderedPageBreak/>
        <w:t xml:space="preserve">31 </w:t>
      </w:r>
      <w:proofErr w:type="gramStart"/>
      <w:r w:rsidRPr="00D60AE2">
        <w:t>En</w:t>
      </w:r>
      <w:proofErr w:type="gramEnd"/>
      <w:r w:rsidRPr="00D60AE2">
        <w:t xml:space="preserve"> un paciente con carga viral indetectable y múltiples comorbilidades, ¿qué factores deben considerarse antes de simplificar el tratamiento?</w:t>
      </w:r>
    </w:p>
    <w:p w14:paraId="08524F90" w14:textId="77777777" w:rsidR="00D60AE2" w:rsidRPr="00D60AE2" w:rsidRDefault="00D60AE2" w:rsidP="00D60AE2">
      <w:r w:rsidRPr="00D60AE2">
        <w:t>32.Si un paciente tiene adherencia irregular, ¿por qué algunos regímenes con inhibidores de integrasa tienen mayor barrera genética que otros?</w:t>
      </w:r>
    </w:p>
    <w:p w14:paraId="58C30953" w14:textId="77777777" w:rsidR="00D60AE2" w:rsidRPr="00D60AE2" w:rsidRDefault="00D60AE2" w:rsidP="00D60AE2">
      <w:r w:rsidRPr="00D60AE2">
        <w:t>33. En un paciente con fracaso virológico y múltiples mutaciones de resistencia, ¿cuál es el principio fundamental para diseñar el nuevo régimen?</w:t>
      </w:r>
    </w:p>
    <w:p w14:paraId="4D498FF7" w14:textId="77777777" w:rsidR="00D60AE2" w:rsidRPr="00D60AE2" w:rsidRDefault="00D60AE2" w:rsidP="00D60AE2">
      <w:r w:rsidRPr="00D60AE2">
        <w:t>34. Si un paciente con VIH tiene hepatitis B crónica, ¿qué implicaciones tiene esto para elegir el TAR?</w:t>
      </w:r>
    </w:p>
    <w:p w14:paraId="1A24D644" w14:textId="77777777" w:rsidR="00D60AE2" w:rsidRPr="00D60AE2" w:rsidRDefault="00D60AE2" w:rsidP="00D60AE2">
      <w:r w:rsidRPr="00D60AE2">
        <w:t>35. ¿Por qué en pacientes con VIH se recomienda evitar monoterapia antirretroviral, incluso con fármacos potentes?</w:t>
      </w:r>
    </w:p>
    <w:p w14:paraId="123CB8E3" w14:textId="77777777" w:rsidR="00D60AE2" w:rsidRPr="00D60AE2" w:rsidRDefault="00D60AE2" w:rsidP="00D60AE2">
      <w:r w:rsidRPr="00D60AE2">
        <w:t>36. Si un paciente suprimido cambia de TAR por toxicidad, ¿qué parámetros deben monitorizarse tras el cambio para confirmar eficacia?</w:t>
      </w:r>
    </w:p>
    <w:p w14:paraId="3E8D8933" w14:textId="77777777" w:rsidR="00D60AE2" w:rsidRPr="00D60AE2" w:rsidRDefault="00D60AE2" w:rsidP="00D60AE2">
      <w:r w:rsidRPr="00D60AE2">
        <w:t>37. Si un paciente tiene interacciones farmacológicas complejas por polifarmacia, ¿qué clases de antirretrovirales suelen ser más fáciles de manejar?</w:t>
      </w:r>
    </w:p>
    <w:p w14:paraId="56D52DDC" w14:textId="77777777" w:rsidR="00D60AE2" w:rsidRPr="00D60AE2" w:rsidRDefault="00D60AE2" w:rsidP="00D60AE2">
      <w:r w:rsidRPr="00D60AE2">
        <w:t>38. Si un paciente presenta rebote viral tras años de supresión, ¿cuáles son las tres causas principales que deben investigarse antes de cambiar TAR?</w:t>
      </w:r>
    </w:p>
    <w:p w14:paraId="0946ABD5" w14:textId="77777777" w:rsidR="00D60AE2" w:rsidRDefault="00D60AE2" w:rsidP="00D60AE2"/>
    <w:p w14:paraId="0540A8C6" w14:textId="77777777" w:rsidR="00D60AE2" w:rsidRDefault="00D60AE2" w:rsidP="00D60AE2"/>
    <w:p w14:paraId="78190A6F" w14:textId="77777777" w:rsidR="00D60AE2" w:rsidRDefault="00D60AE2" w:rsidP="00D60AE2"/>
    <w:p w14:paraId="151EED48" w14:textId="77777777" w:rsidR="00D60AE2" w:rsidRDefault="00D60AE2" w:rsidP="00D60AE2"/>
    <w:p w14:paraId="2D348E3F" w14:textId="77777777" w:rsidR="00D60AE2" w:rsidRDefault="00D60AE2" w:rsidP="00D60AE2"/>
    <w:p w14:paraId="7EFDC9BD" w14:textId="77777777" w:rsidR="00D60AE2" w:rsidRDefault="00D60AE2" w:rsidP="00D60AE2"/>
    <w:p w14:paraId="23A01B12" w14:textId="77777777" w:rsidR="00D60AE2" w:rsidRDefault="00D60AE2" w:rsidP="00D60AE2"/>
    <w:p w14:paraId="0D3F2BAB" w14:textId="77777777" w:rsidR="00D60AE2" w:rsidRDefault="00D60AE2" w:rsidP="00D60AE2"/>
    <w:p w14:paraId="46DF0793" w14:textId="77777777" w:rsidR="00D60AE2" w:rsidRDefault="00D60AE2" w:rsidP="00D60AE2"/>
    <w:p w14:paraId="2816933A" w14:textId="77777777" w:rsidR="00D60AE2" w:rsidRDefault="00D60AE2" w:rsidP="00D60AE2"/>
    <w:p w14:paraId="72892E4D" w14:textId="77777777" w:rsidR="00D60AE2" w:rsidRDefault="00D60AE2" w:rsidP="00D60AE2"/>
    <w:p w14:paraId="1C7B633D" w14:textId="77777777" w:rsidR="00D60AE2" w:rsidRDefault="00D60AE2" w:rsidP="00D60AE2"/>
    <w:p w14:paraId="025AB05D" w14:textId="77777777" w:rsidR="00D60AE2" w:rsidRDefault="00D60AE2" w:rsidP="00D60AE2"/>
    <w:p w14:paraId="066A93E3" w14:textId="77777777" w:rsidR="00D60AE2" w:rsidRDefault="00D60AE2" w:rsidP="00D60AE2"/>
    <w:p w14:paraId="4FA493EE" w14:textId="77777777" w:rsidR="00D60AE2" w:rsidRDefault="00D60AE2" w:rsidP="00D60AE2"/>
    <w:p w14:paraId="64904055" w14:textId="77777777" w:rsidR="00D60AE2" w:rsidRDefault="00D60AE2" w:rsidP="00D60AE2"/>
    <w:p w14:paraId="785BF2EC" w14:textId="77777777" w:rsidR="00D60AE2" w:rsidRDefault="00D60AE2" w:rsidP="00D60AE2"/>
    <w:p w14:paraId="4F41E54F" w14:textId="77777777" w:rsidR="00D60AE2" w:rsidRDefault="00D60AE2" w:rsidP="00D60AE2"/>
    <w:p w14:paraId="26A53AD9" w14:textId="033FCB6D" w:rsidR="00D60AE2" w:rsidRDefault="00D60AE2" w:rsidP="00D60AE2">
      <w:pPr>
        <w:rPr>
          <w:b/>
          <w:bCs/>
          <w:sz w:val="24"/>
          <w:szCs w:val="24"/>
        </w:rPr>
      </w:pPr>
      <w:r w:rsidRPr="00D60AE2">
        <w:rPr>
          <w:b/>
          <w:bCs/>
          <w:sz w:val="24"/>
          <w:szCs w:val="24"/>
        </w:rPr>
        <w:lastRenderedPageBreak/>
        <w:t xml:space="preserve">Propuestas </w:t>
      </w:r>
      <w:proofErr w:type="spellStart"/>
      <w:r w:rsidRPr="00D60AE2">
        <w:rPr>
          <w:b/>
          <w:bCs/>
          <w:sz w:val="24"/>
          <w:szCs w:val="24"/>
        </w:rPr>
        <w:t>p</w:t>
      </w:r>
      <w:r>
        <w:rPr>
          <w:b/>
          <w:bCs/>
          <w:sz w:val="24"/>
          <w:szCs w:val="24"/>
        </w:rPr>
        <w:t>ropuestas</w:t>
      </w:r>
      <w:proofErr w:type="spellEnd"/>
      <w:r w:rsidRPr="00D60AE2">
        <w:rPr>
          <w:b/>
          <w:bCs/>
          <w:sz w:val="24"/>
          <w:szCs w:val="24"/>
        </w:rPr>
        <w:t>:</w:t>
      </w:r>
    </w:p>
    <w:p w14:paraId="1770E98E" w14:textId="77777777" w:rsidR="00D60AE2" w:rsidRPr="00D60AE2" w:rsidRDefault="00D60AE2" w:rsidP="00D60AE2">
      <w:pPr>
        <w:rPr>
          <w:b/>
          <w:bCs/>
          <w:sz w:val="24"/>
          <w:szCs w:val="24"/>
        </w:rPr>
      </w:pPr>
      <w:r w:rsidRPr="00D60AE2">
        <w:rPr>
          <w:b/>
          <w:bCs/>
          <w:sz w:val="24"/>
          <w:szCs w:val="24"/>
        </w:rPr>
        <w:pict w14:anchorId="5BC7A8A7">
          <v:rect id="_x0000_i1061" style="width:0;height:1.5pt" o:hralign="center" o:hrstd="t" o:hr="t" fillcolor="#a0a0a0" stroked="f"/>
        </w:pict>
      </w:r>
    </w:p>
    <w:p w14:paraId="61BC99B1" w14:textId="77777777" w:rsidR="00D60AE2" w:rsidRPr="00D60AE2" w:rsidRDefault="00D60AE2" w:rsidP="00D60AE2">
      <w:pPr>
        <w:rPr>
          <w:b/>
          <w:bCs/>
          <w:sz w:val="24"/>
          <w:szCs w:val="24"/>
        </w:rPr>
      </w:pPr>
      <w:r w:rsidRPr="00D60AE2">
        <w:rPr>
          <w:b/>
          <w:bCs/>
          <w:sz w:val="24"/>
          <w:szCs w:val="24"/>
        </w:rPr>
        <w:t>Embarazo y transmisión vertical</w:t>
      </w:r>
    </w:p>
    <w:p w14:paraId="1B61027B" w14:textId="77777777" w:rsidR="00D60AE2" w:rsidRPr="00D60AE2" w:rsidRDefault="00D60AE2" w:rsidP="00D60AE2">
      <w:pPr>
        <w:numPr>
          <w:ilvl w:val="0"/>
          <w:numId w:val="1"/>
        </w:numPr>
      </w:pPr>
      <w:r w:rsidRPr="00D60AE2">
        <w:t xml:space="preserve">Si una mujer con VIH en TAR suprimido queda embarazada, ¿qué ajustes farmacológicos son necesarios y por qué algunos fármacos como el </w:t>
      </w:r>
      <w:proofErr w:type="spellStart"/>
      <w:r w:rsidRPr="00D60AE2">
        <w:t>dolutegravir</w:t>
      </w:r>
      <w:proofErr w:type="spellEnd"/>
      <w:r w:rsidRPr="00D60AE2">
        <w:t xml:space="preserve"> generaron controversia inicial?</w:t>
      </w:r>
    </w:p>
    <w:p w14:paraId="73A8E0BA" w14:textId="77777777" w:rsidR="00D60AE2" w:rsidRPr="00D60AE2" w:rsidRDefault="00D60AE2" w:rsidP="00D60AE2">
      <w:pPr>
        <w:numPr>
          <w:ilvl w:val="0"/>
          <w:numId w:val="1"/>
        </w:numPr>
      </w:pPr>
      <w:r w:rsidRPr="00D60AE2">
        <w:t xml:space="preserve">¿En qué situación obstétrica estaría indicada la cesárea programada en una mujer con </w:t>
      </w:r>
      <w:proofErr w:type="gramStart"/>
      <w:r w:rsidRPr="00D60AE2">
        <w:t>VIH</w:t>
      </w:r>
      <w:proofErr w:type="gramEnd"/>
      <w:r w:rsidRPr="00D60AE2">
        <w:t xml:space="preserve"> aunque tenga carga viral indetectable?</w:t>
      </w:r>
    </w:p>
    <w:p w14:paraId="30C23AAE" w14:textId="77777777" w:rsidR="00D60AE2" w:rsidRPr="00D60AE2" w:rsidRDefault="00D60AE2" w:rsidP="00D60AE2">
      <w:pPr>
        <w:rPr>
          <w:b/>
          <w:bCs/>
          <w:sz w:val="24"/>
          <w:szCs w:val="24"/>
        </w:rPr>
      </w:pPr>
      <w:r w:rsidRPr="00D60AE2">
        <w:rPr>
          <w:b/>
          <w:bCs/>
          <w:sz w:val="24"/>
          <w:szCs w:val="24"/>
        </w:rPr>
        <w:pict w14:anchorId="159E061B">
          <v:rect id="_x0000_i1062" style="width:0;height:1.5pt" o:hralign="center" o:hrstd="t" o:hr="t" fillcolor="#a0a0a0" stroked="f"/>
        </w:pict>
      </w:r>
    </w:p>
    <w:p w14:paraId="2651E979" w14:textId="77777777" w:rsidR="00D60AE2" w:rsidRPr="00D60AE2" w:rsidRDefault="00D60AE2" w:rsidP="00D60AE2">
      <w:pPr>
        <w:rPr>
          <w:b/>
          <w:bCs/>
          <w:sz w:val="24"/>
          <w:szCs w:val="24"/>
        </w:rPr>
      </w:pPr>
      <w:r w:rsidRPr="00D60AE2">
        <w:rPr>
          <w:b/>
          <w:bCs/>
          <w:sz w:val="24"/>
          <w:szCs w:val="24"/>
        </w:rPr>
        <w:t>PrEP</w:t>
      </w:r>
    </w:p>
    <w:p w14:paraId="2F768CA4" w14:textId="77777777" w:rsidR="00D60AE2" w:rsidRPr="00D60AE2" w:rsidRDefault="00D60AE2" w:rsidP="00D60AE2">
      <w:pPr>
        <w:numPr>
          <w:ilvl w:val="0"/>
          <w:numId w:val="2"/>
        </w:numPr>
      </w:pPr>
      <w:r w:rsidRPr="00D60AE2">
        <w:t>Si un paciente solicita PrEP y tiene una infección por VIH no diagnosticada, ¿qué riesgos conlleva iniciarla sin descartar infección activa y por qué?</w:t>
      </w:r>
    </w:p>
    <w:p w14:paraId="71FE4691" w14:textId="77777777" w:rsidR="00D60AE2" w:rsidRPr="00D60AE2" w:rsidRDefault="00D60AE2" w:rsidP="00D60AE2">
      <w:pPr>
        <w:numPr>
          <w:ilvl w:val="0"/>
          <w:numId w:val="2"/>
        </w:numPr>
      </w:pPr>
      <w:r w:rsidRPr="00D60AE2">
        <w:t>¿En qué poblaciones la PrEP oral con TDF/FTC tiene menor eficacia relativa y qué alternativas existen actualmente?</w:t>
      </w:r>
    </w:p>
    <w:p w14:paraId="42E62475" w14:textId="77777777" w:rsidR="00D60AE2" w:rsidRPr="00D60AE2" w:rsidRDefault="00D60AE2" w:rsidP="00D60AE2">
      <w:pPr>
        <w:rPr>
          <w:b/>
          <w:bCs/>
          <w:sz w:val="24"/>
          <w:szCs w:val="24"/>
        </w:rPr>
      </w:pPr>
      <w:r w:rsidRPr="00D60AE2">
        <w:rPr>
          <w:b/>
          <w:bCs/>
          <w:sz w:val="24"/>
          <w:szCs w:val="24"/>
        </w:rPr>
        <w:pict w14:anchorId="6A5D01D0">
          <v:rect id="_x0000_i1063" style="width:0;height:1.5pt" o:hralign="center" o:hrstd="t" o:hr="t" fillcolor="#a0a0a0" stroked="f"/>
        </w:pict>
      </w:r>
    </w:p>
    <w:p w14:paraId="1211790B" w14:textId="77777777" w:rsidR="00D60AE2" w:rsidRPr="00D60AE2" w:rsidRDefault="00D60AE2" w:rsidP="00D60AE2">
      <w:pPr>
        <w:rPr>
          <w:b/>
          <w:bCs/>
          <w:sz w:val="24"/>
          <w:szCs w:val="24"/>
        </w:rPr>
      </w:pPr>
      <w:r w:rsidRPr="00D60AE2">
        <w:rPr>
          <w:b/>
          <w:bCs/>
          <w:sz w:val="24"/>
          <w:szCs w:val="24"/>
        </w:rPr>
        <w:t>Coinfección VHC</w:t>
      </w:r>
    </w:p>
    <w:p w14:paraId="435D5AFC" w14:textId="77777777" w:rsidR="00D60AE2" w:rsidRPr="00D60AE2" w:rsidRDefault="00D60AE2" w:rsidP="00D60AE2">
      <w:pPr>
        <w:numPr>
          <w:ilvl w:val="0"/>
          <w:numId w:val="3"/>
        </w:numPr>
      </w:pPr>
      <w:r w:rsidRPr="00D60AE2">
        <w:t>Si un paciente con VIH inicia antivirales de acción directa para el VHC, ¿qué interacciones farmacológicas con el TAR deben anticiparse?</w:t>
      </w:r>
    </w:p>
    <w:p w14:paraId="6F785407" w14:textId="77777777" w:rsidR="00D60AE2" w:rsidRPr="00D60AE2" w:rsidRDefault="00D60AE2" w:rsidP="00D60AE2">
      <w:pPr>
        <w:numPr>
          <w:ilvl w:val="0"/>
          <w:numId w:val="3"/>
        </w:numPr>
      </w:pPr>
      <w:r w:rsidRPr="00D60AE2">
        <w:t>Tras curar la hepatitis C con antivirales directos en un paciente con VIH, ¿por qué persiste el riesgo de hepatocarcinoma y qué seguimiento requiere?</w:t>
      </w:r>
    </w:p>
    <w:p w14:paraId="763C929E" w14:textId="77777777" w:rsidR="00D60AE2" w:rsidRPr="00D60AE2" w:rsidRDefault="00D60AE2" w:rsidP="00D60AE2">
      <w:pPr>
        <w:rPr>
          <w:b/>
          <w:bCs/>
          <w:sz w:val="24"/>
          <w:szCs w:val="24"/>
        </w:rPr>
      </w:pPr>
      <w:r w:rsidRPr="00D60AE2">
        <w:rPr>
          <w:b/>
          <w:bCs/>
          <w:sz w:val="24"/>
          <w:szCs w:val="24"/>
        </w:rPr>
        <w:pict w14:anchorId="0D1B77C2">
          <v:rect id="_x0000_i1064" style="width:0;height:1.5pt" o:hralign="center" o:hrstd="t" o:hr="t" fillcolor="#a0a0a0" stroked="f"/>
        </w:pict>
      </w:r>
    </w:p>
    <w:p w14:paraId="0CD19DD4" w14:textId="77777777" w:rsidR="00D60AE2" w:rsidRPr="00D60AE2" w:rsidRDefault="00D60AE2" w:rsidP="00D60AE2">
      <w:pPr>
        <w:rPr>
          <w:b/>
          <w:bCs/>
          <w:sz w:val="24"/>
          <w:szCs w:val="24"/>
        </w:rPr>
      </w:pPr>
      <w:r w:rsidRPr="00D60AE2">
        <w:rPr>
          <w:b/>
          <w:bCs/>
          <w:sz w:val="24"/>
          <w:szCs w:val="24"/>
        </w:rPr>
        <w:t>IRIS</w:t>
      </w:r>
    </w:p>
    <w:p w14:paraId="60A08D2E" w14:textId="77777777" w:rsidR="00D60AE2" w:rsidRPr="00D60AE2" w:rsidRDefault="00D60AE2" w:rsidP="00D60AE2">
      <w:pPr>
        <w:numPr>
          <w:ilvl w:val="0"/>
          <w:numId w:val="4"/>
        </w:numPr>
      </w:pPr>
      <w:r w:rsidRPr="00D60AE2">
        <w:t>Si un paciente con CD4 muy bajos inicia TAR y a las 3 semanas desarrolla fiebre y adenopatías, ¿cómo diferenciar un IRIS paradójico de un fallo del tratamiento o una nueva infección oportunista?</w:t>
      </w:r>
    </w:p>
    <w:p w14:paraId="0A54FC46" w14:textId="77777777" w:rsidR="00D60AE2" w:rsidRPr="00D60AE2" w:rsidRDefault="00D60AE2" w:rsidP="00D60AE2">
      <w:pPr>
        <w:numPr>
          <w:ilvl w:val="0"/>
          <w:numId w:val="4"/>
        </w:numPr>
      </w:pPr>
      <w:r w:rsidRPr="00D60AE2">
        <w:t>¿En qué situaciones el IRIS puede ser potencialmente mortal y justificaría retrasar el inicio del TAR?</w:t>
      </w:r>
    </w:p>
    <w:p w14:paraId="795EC5BE" w14:textId="77777777" w:rsidR="00D60AE2" w:rsidRPr="00D60AE2" w:rsidRDefault="00D60AE2" w:rsidP="00D60AE2">
      <w:pPr>
        <w:rPr>
          <w:b/>
          <w:bCs/>
          <w:sz w:val="24"/>
          <w:szCs w:val="24"/>
        </w:rPr>
      </w:pPr>
      <w:r w:rsidRPr="00D60AE2">
        <w:rPr>
          <w:b/>
          <w:bCs/>
          <w:sz w:val="24"/>
          <w:szCs w:val="24"/>
        </w:rPr>
        <w:pict w14:anchorId="71CE163B">
          <v:rect id="_x0000_i1065" style="width:0;height:1.5pt" o:hralign="center" o:hrstd="t" o:hr="t" fillcolor="#a0a0a0" stroked="f"/>
        </w:pict>
      </w:r>
    </w:p>
    <w:p w14:paraId="43D512B1" w14:textId="77777777" w:rsidR="00D60AE2" w:rsidRPr="00D60AE2" w:rsidRDefault="00D60AE2" w:rsidP="00D60AE2">
      <w:pPr>
        <w:rPr>
          <w:b/>
          <w:bCs/>
          <w:sz w:val="24"/>
          <w:szCs w:val="24"/>
        </w:rPr>
      </w:pPr>
      <w:r w:rsidRPr="00D60AE2">
        <w:rPr>
          <w:b/>
          <w:bCs/>
          <w:sz w:val="24"/>
          <w:szCs w:val="24"/>
        </w:rPr>
        <w:t>Inicio tardío / CD4 muy bajos</w:t>
      </w:r>
    </w:p>
    <w:p w14:paraId="603AF620" w14:textId="77777777" w:rsidR="00D60AE2" w:rsidRPr="00D60AE2" w:rsidRDefault="00D60AE2" w:rsidP="00D60AE2">
      <w:pPr>
        <w:numPr>
          <w:ilvl w:val="0"/>
          <w:numId w:val="5"/>
        </w:numPr>
      </w:pPr>
      <w:r w:rsidRPr="00D60AE2">
        <w:t>Si un paciente debuta con CD4 &lt; 50 células/</w:t>
      </w:r>
      <w:proofErr w:type="spellStart"/>
      <w:r w:rsidRPr="00D60AE2">
        <w:t>μL</w:t>
      </w:r>
      <w:proofErr w:type="spellEnd"/>
      <w:r w:rsidRPr="00D60AE2">
        <w:t xml:space="preserve"> y múltiples infecciones oportunistas simultáneas, ¿cómo priorizar el inicio del TAR respecto al tratamiento de cada infección?</w:t>
      </w:r>
    </w:p>
    <w:p w14:paraId="5101240F" w14:textId="77777777" w:rsidR="00D60AE2" w:rsidRPr="00D60AE2" w:rsidRDefault="00D60AE2" w:rsidP="00D60AE2">
      <w:pPr>
        <w:numPr>
          <w:ilvl w:val="0"/>
          <w:numId w:val="5"/>
        </w:numPr>
      </w:pPr>
      <w:r w:rsidRPr="00D60AE2">
        <w:t xml:space="preserve">¿Por qué un paciente que inicia TAR con CD4 muy bajos puede nunca alcanzar recuentos </w:t>
      </w:r>
      <w:proofErr w:type="gramStart"/>
      <w:r w:rsidRPr="00D60AE2">
        <w:t>normales</w:t>
      </w:r>
      <w:proofErr w:type="gramEnd"/>
      <w:r w:rsidRPr="00D60AE2">
        <w:t xml:space="preserve"> aunque logre supresión viral mantenida, y qué implicaciones clínicas tiene?</w:t>
      </w:r>
    </w:p>
    <w:p w14:paraId="33D125A6" w14:textId="77777777" w:rsidR="00D60AE2" w:rsidRPr="00D60AE2" w:rsidRDefault="00D60AE2" w:rsidP="00D60AE2">
      <w:pPr>
        <w:rPr>
          <w:b/>
          <w:bCs/>
          <w:sz w:val="24"/>
          <w:szCs w:val="24"/>
        </w:rPr>
      </w:pPr>
      <w:r w:rsidRPr="00D60AE2">
        <w:rPr>
          <w:b/>
          <w:bCs/>
          <w:sz w:val="24"/>
          <w:szCs w:val="24"/>
        </w:rPr>
        <w:lastRenderedPageBreak/>
        <w:pict w14:anchorId="0A37BD96">
          <v:rect id="_x0000_i1066" style="width:0;height:1.5pt" o:hralign="center" o:hrstd="t" o:hr="t" fillcolor="#a0a0a0" stroked="f"/>
        </w:pict>
      </w:r>
    </w:p>
    <w:p w14:paraId="799E0EBE" w14:textId="77777777" w:rsidR="00D60AE2" w:rsidRPr="00D60AE2" w:rsidRDefault="00D60AE2" w:rsidP="00D60AE2">
      <w:pPr>
        <w:rPr>
          <w:b/>
          <w:bCs/>
          <w:sz w:val="24"/>
          <w:szCs w:val="24"/>
        </w:rPr>
      </w:pPr>
      <w:r w:rsidRPr="00D60AE2">
        <w:rPr>
          <w:b/>
          <w:bCs/>
          <w:sz w:val="24"/>
          <w:szCs w:val="24"/>
        </w:rPr>
        <w:t>Envejecimiento y VIH</w:t>
      </w:r>
    </w:p>
    <w:p w14:paraId="3FA88D21" w14:textId="77777777" w:rsidR="00D60AE2" w:rsidRPr="00D60AE2" w:rsidRDefault="00D60AE2" w:rsidP="00D60AE2">
      <w:pPr>
        <w:numPr>
          <w:ilvl w:val="0"/>
          <w:numId w:val="6"/>
        </w:numPr>
      </w:pPr>
      <w:r w:rsidRPr="00D60AE2">
        <w:t>En un paciente mayor de 65 años con VIH y carga viral indetectable, ¿por qué el riesgo de fragilidad, sarcopenia y deterioro cognitivo es mayor que en la población general de la misma edad?</w:t>
      </w:r>
    </w:p>
    <w:p w14:paraId="403AF970" w14:textId="77777777" w:rsidR="00D60AE2" w:rsidRPr="00D60AE2" w:rsidRDefault="00D60AE2" w:rsidP="00D60AE2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D60AE2">
        <w:t>Si un paciente con VIH tiene polifarmacia por comorbilidades del envejecimiento, ¿qué herramientas existen para evaluar interacciones y qué clases de TAR ofrecen menor riesgo?</w:t>
      </w:r>
    </w:p>
    <w:p w14:paraId="6076E099" w14:textId="77777777" w:rsidR="00D60AE2" w:rsidRPr="00D60AE2" w:rsidRDefault="00D60AE2" w:rsidP="00D60AE2">
      <w:pPr>
        <w:rPr>
          <w:b/>
          <w:bCs/>
          <w:sz w:val="24"/>
          <w:szCs w:val="24"/>
        </w:rPr>
      </w:pPr>
    </w:p>
    <w:p w14:paraId="5C4037B0" w14:textId="77777777" w:rsidR="00D60AE2" w:rsidRPr="00D60AE2" w:rsidRDefault="00D60AE2" w:rsidP="00D60AE2"/>
    <w:sectPr w:rsidR="00D60AE2" w:rsidRPr="00D60A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6B72"/>
    <w:multiLevelType w:val="multilevel"/>
    <w:tmpl w:val="722447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1E09CD"/>
    <w:multiLevelType w:val="multilevel"/>
    <w:tmpl w:val="C8A637A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E3243E"/>
    <w:multiLevelType w:val="multilevel"/>
    <w:tmpl w:val="15327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AC3E06"/>
    <w:multiLevelType w:val="multilevel"/>
    <w:tmpl w:val="4274AF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DA71B8"/>
    <w:multiLevelType w:val="multilevel"/>
    <w:tmpl w:val="EBBAEB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5176A9"/>
    <w:multiLevelType w:val="multilevel"/>
    <w:tmpl w:val="04FC978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0060471">
    <w:abstractNumId w:val="2"/>
  </w:num>
  <w:num w:numId="2" w16cid:durableId="1561750377">
    <w:abstractNumId w:val="0"/>
  </w:num>
  <w:num w:numId="3" w16cid:durableId="1065840520">
    <w:abstractNumId w:val="4"/>
  </w:num>
  <w:num w:numId="4" w16cid:durableId="1692141449">
    <w:abstractNumId w:val="5"/>
  </w:num>
  <w:num w:numId="5" w16cid:durableId="40138776">
    <w:abstractNumId w:val="3"/>
  </w:num>
  <w:num w:numId="6" w16cid:durableId="540940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AE2"/>
    <w:rsid w:val="0008058A"/>
    <w:rsid w:val="00093AD0"/>
    <w:rsid w:val="0058247F"/>
    <w:rsid w:val="005976B2"/>
    <w:rsid w:val="005A48AD"/>
    <w:rsid w:val="00D6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FBAFE"/>
  <w15:chartTrackingRefBased/>
  <w15:docId w15:val="{BFE2F8F9-F446-4844-84B5-5E13EECF3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0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0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0A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0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0A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0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0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0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0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0A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0A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0A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0AE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0AE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0A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0A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0A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0A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0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0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0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0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0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0A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0A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0AE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0A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0AE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0A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1162</Words>
  <Characters>6391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Rodríguez Melgar</dc:creator>
  <cp:keywords/>
  <dc:description/>
  <cp:lastModifiedBy>Víctor Rodríguez Melgar</cp:lastModifiedBy>
  <cp:revision>1</cp:revision>
  <dcterms:created xsi:type="dcterms:W3CDTF">2026-04-08T10:05:00Z</dcterms:created>
  <dcterms:modified xsi:type="dcterms:W3CDTF">2026-04-08T10:38:00Z</dcterms:modified>
</cp:coreProperties>
</file>