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400" w:lineRule="atLeast"/>
        <w:ind w:firstLine="723" w:firstLineChars="200"/>
        <w:jc w:val="center"/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>事意分定：令曲与慢词的结构组织与情绪表达     ——以秦观《望海潮》《千秋岁》为例</w:t>
      </w:r>
    </w:p>
    <w:p>
      <w:pPr>
        <w:spacing w:line="400" w:lineRule="atLeast"/>
        <w:ind w:firstLine="562" w:firstLineChars="200"/>
        <w:jc w:val="center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金心远  233300110075  23级汉语言文学</w:t>
      </w:r>
    </w:p>
    <w:p>
      <w:pPr>
        <w:spacing w:line="400" w:lineRule="atLeast"/>
        <w:ind w:firstLine="560" w:firstLineChars="200"/>
        <w:rPr>
          <w:rFonts w:ascii="宋体" w:hAnsi="宋体" w:eastAsia="宋体"/>
          <w:sz w:val="28"/>
          <w:szCs w:val="28"/>
        </w:rPr>
      </w:pPr>
    </w:p>
    <w:p>
      <w:pPr>
        <w:spacing w:line="400" w:lineRule="atLeast"/>
        <w:ind w:firstLine="560" w:firstLineChars="200"/>
        <w:rPr>
          <w:rFonts w:hint="eastAsia" w:ascii="宋体" w:hAnsi="宋体" w:eastAsia="宋体"/>
          <w:sz w:val="28"/>
          <w:szCs w:val="28"/>
        </w:rPr>
      </w:pPr>
    </w:p>
    <w:p>
      <w:pPr>
        <w:pStyle w:val="3"/>
        <w:numPr>
          <w:ilvl w:val="0"/>
          <w:numId w:val="1"/>
        </w:numPr>
        <w:spacing w:line="400" w:lineRule="atLeast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引言</w:t>
      </w:r>
    </w:p>
    <w:p>
      <w:pPr>
        <w:spacing w:line="400" w:lineRule="atLeast"/>
        <w:ind w:firstLine="560" w:firstLineChars="200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</w:rPr>
        <w:t>沈义父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在</w:t>
      </w:r>
      <w:r>
        <w:rPr>
          <w:rFonts w:hint="eastAsia" w:ascii="宋体" w:hAnsi="宋体" w:eastAsia="宋体"/>
          <w:sz w:val="28"/>
          <w:szCs w:val="28"/>
        </w:rPr>
        <w:t>《乐府指迷》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中指出：【翻译这段话】</w:t>
      </w:r>
    </w:p>
    <w:p>
      <w:pPr>
        <w:spacing w:line="400" w:lineRule="atLeast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令曲和慢词的“事意分定”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有</w:t>
      </w:r>
      <w:r>
        <w:rPr>
          <w:rFonts w:hint="eastAsia" w:ascii="宋体" w:hAnsi="宋体" w:eastAsia="宋体"/>
          <w:sz w:val="28"/>
          <w:szCs w:val="28"/>
        </w:rPr>
        <w:t>不同的要求：写作慢词时，对事和意的间架需要仔细构思，而令曲则可即景抒情，一气而成。</w:t>
      </w:r>
    </w:p>
    <w:p>
      <w:pPr>
        <w:spacing w:line="400" w:lineRule="atLeast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因结构组织方式不同，令曲和慢词的情绪表达便也显出差异：令曲作法如诗中绝句，即景抒情，体认和捕捉刹那情感；长调作法略似诗中律诗，注重结构安排，通过敷衍铺排、时空交错以得顿挫潜转之妙，一咏三叹。</w:t>
      </w:r>
    </w:p>
    <w:p>
      <w:pPr>
        <w:spacing w:line="400" w:lineRule="atLeast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即便是对类似情感的书写和类似意象的拼和，令曲与慢词结构组织和情绪表达的差异仍然是很显豁的。本文试图比照秦观的《千秋岁·水边沙外》与《望海潮·梅英疏淡》，探究二者“事意分定”的差别。</w:t>
      </w:r>
    </w:p>
    <w:p>
      <w:pPr>
        <w:spacing w:line="400" w:lineRule="atLeast"/>
        <w:ind w:firstLine="560" w:firstLineChars="200"/>
        <w:rPr>
          <w:rFonts w:ascii="宋体" w:hAnsi="宋体" w:eastAsia="宋体"/>
          <w:sz w:val="28"/>
          <w:szCs w:val="28"/>
        </w:rPr>
      </w:pPr>
    </w:p>
    <w:p>
      <w:pPr>
        <w:spacing w:line="400" w:lineRule="atLeast"/>
        <w:ind w:firstLine="560" w:firstLineChars="200"/>
        <w:rPr>
          <w:rFonts w:ascii="宋体" w:hAnsi="宋体" w:eastAsia="宋体"/>
          <w:sz w:val="28"/>
          <w:szCs w:val="28"/>
        </w:rPr>
      </w:pPr>
    </w:p>
    <w:p>
      <w:pPr>
        <w:pStyle w:val="3"/>
        <w:numPr>
          <w:ilvl w:val="0"/>
          <w:numId w:val="1"/>
        </w:numPr>
        <w:spacing w:line="400" w:lineRule="atLeast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《千秋岁》《望海潮》之“令”“慢”性质</w:t>
      </w:r>
    </w:p>
    <w:p>
      <w:pPr>
        <w:spacing w:line="400" w:lineRule="atLeast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在做令曲和慢词的词体划分时，本文主要参考《朝野与雅俗</w:t>
      </w:r>
      <w:r>
        <w:rPr>
          <w:rFonts w:ascii="宋体" w:hAnsi="宋体" w:eastAsia="宋体"/>
          <w:sz w:val="28"/>
          <w:szCs w:val="28"/>
        </w:rPr>
        <w:t>:宋真宗至高宗朝词坛生</w:t>
      </w:r>
      <w:r>
        <w:rPr>
          <w:rFonts w:hint="eastAsia" w:ascii="宋体" w:hAnsi="宋体" w:eastAsia="宋体"/>
          <w:sz w:val="28"/>
          <w:szCs w:val="28"/>
        </w:rPr>
        <w:t>态与词体雅化研究》一书：“</w:t>
      </w:r>
      <w:r>
        <w:rPr>
          <w:rFonts w:ascii="宋体" w:hAnsi="宋体" w:eastAsia="宋体"/>
          <w:sz w:val="28"/>
          <w:szCs w:val="28"/>
        </w:rPr>
        <w:t>令曲即多体制短小,以单式句为主,节</w:t>
      </w:r>
      <w:r>
        <w:rPr>
          <w:rFonts w:hint="eastAsia" w:ascii="宋体" w:hAnsi="宋体" w:eastAsia="宋体"/>
          <w:sz w:val="28"/>
          <w:szCs w:val="28"/>
        </w:rPr>
        <w:t>奏上接近于近体诗的词调</w:t>
      </w:r>
      <w:r>
        <w:rPr>
          <w:rFonts w:ascii="宋体" w:hAnsi="宋体" w:eastAsia="宋体"/>
          <w:sz w:val="28"/>
          <w:szCs w:val="28"/>
        </w:rPr>
        <w:t>;慢词则体制较长,以双式句为主,富有歌</w:t>
      </w:r>
      <w:r>
        <w:rPr>
          <w:rFonts w:hint="eastAsia" w:ascii="宋体" w:hAnsi="宋体" w:eastAsia="宋体"/>
          <w:sz w:val="28"/>
          <w:szCs w:val="28"/>
        </w:rPr>
        <w:t>词特色节奏的词调”</w:t>
      </w:r>
      <w:r>
        <w:rPr>
          <w:rStyle w:val="9"/>
          <w:rFonts w:ascii="宋体" w:hAnsi="宋体" w:eastAsia="宋体"/>
          <w:sz w:val="28"/>
          <w:szCs w:val="28"/>
        </w:rPr>
        <w:footnoteReference w:id="0"/>
      </w:r>
      <w:r>
        <w:rPr>
          <w:rFonts w:hint="eastAsia" w:ascii="宋体" w:hAnsi="宋体" w:eastAsia="宋体"/>
          <w:sz w:val="28"/>
          <w:szCs w:val="28"/>
        </w:rPr>
        <w:t>。据此，本文将《千秋岁》归入令曲，将《望海潮》归入慢词。</w:t>
      </w:r>
    </w:p>
    <w:p>
      <w:pPr>
        <w:spacing w:line="400" w:lineRule="atLeast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《千秋岁》始词为张先所作，以秦观《千秋岁·水边沙外》为正体。该词调为悲调，在秦观身逝后多用于悼亡。</w:t>
      </w:r>
      <w:r>
        <w:rPr>
          <w:rFonts w:ascii="宋体" w:hAnsi="宋体" w:eastAsia="宋体"/>
          <w:sz w:val="28"/>
          <w:szCs w:val="28"/>
        </w:rPr>
        <w:t>此调为重头曲，以奇句为主，足以表达激烈之情</w:t>
      </w:r>
      <w:r>
        <w:rPr>
          <w:rFonts w:hint="eastAsia" w:ascii="宋体" w:hAnsi="宋体" w:eastAsia="宋体"/>
          <w:sz w:val="28"/>
          <w:szCs w:val="28"/>
        </w:rPr>
        <w:t>。</w:t>
      </w:r>
      <w:r>
        <w:rPr>
          <w:rStyle w:val="9"/>
          <w:rFonts w:ascii="宋体" w:hAnsi="宋体" w:eastAsia="宋体"/>
          <w:sz w:val="28"/>
          <w:szCs w:val="28"/>
        </w:rPr>
        <w:footnoteReference w:id="1"/>
      </w:r>
      <w:r>
        <w:rPr>
          <w:rFonts w:hint="eastAsia" w:ascii="宋体" w:hAnsi="宋体" w:eastAsia="宋体"/>
          <w:sz w:val="28"/>
          <w:szCs w:val="28"/>
        </w:rPr>
        <w:t>《千秋岁》共七十一字，为中调，但因单式</w:t>
      </w:r>
      <w:r>
        <w:rPr>
          <w:rFonts w:ascii="宋体" w:hAnsi="宋体" w:eastAsia="宋体"/>
          <w:sz w:val="28"/>
          <w:szCs w:val="28"/>
        </w:rPr>
        <w:t>句</w:t>
      </w:r>
      <w:r>
        <w:rPr>
          <w:rFonts w:hint="eastAsia" w:ascii="宋体" w:hAnsi="宋体" w:eastAsia="宋体"/>
          <w:sz w:val="28"/>
          <w:szCs w:val="28"/>
        </w:rPr>
        <w:t>较多，节奏短快，故划分入令曲。</w:t>
      </w:r>
    </w:p>
    <w:p>
      <w:pPr>
        <w:spacing w:line="400" w:lineRule="atLeast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《望海潮》以柳永《望海潮·东南形胜》为创调之作并通用正体，全词一百零七字，多</w:t>
      </w:r>
      <w:r>
        <w:rPr>
          <w:rFonts w:ascii="宋体" w:hAnsi="宋体" w:eastAsia="宋体"/>
          <w:sz w:val="28"/>
          <w:szCs w:val="28"/>
        </w:rPr>
        <w:t>双式句</w:t>
      </w:r>
      <w:r>
        <w:rPr>
          <w:rFonts w:hint="eastAsia" w:ascii="宋体" w:hAnsi="宋体" w:eastAsia="宋体"/>
          <w:sz w:val="28"/>
          <w:szCs w:val="28"/>
        </w:rPr>
        <w:t>，多对句，节奏舒缓雍容，故划分入慢词。</w:t>
      </w:r>
    </w:p>
    <w:p>
      <w:pPr>
        <w:spacing w:line="400" w:lineRule="atLeast"/>
        <w:ind w:firstLine="560" w:firstLineChars="200"/>
        <w:rPr>
          <w:rFonts w:ascii="宋体" w:hAnsi="宋体" w:eastAsia="宋体"/>
          <w:sz w:val="28"/>
          <w:szCs w:val="28"/>
        </w:rPr>
      </w:pPr>
    </w:p>
    <w:p>
      <w:pPr>
        <w:spacing w:line="400" w:lineRule="atLeast"/>
        <w:rPr>
          <w:rFonts w:ascii="宋体" w:hAnsi="宋体" w:eastAsia="宋体"/>
          <w:sz w:val="28"/>
          <w:szCs w:val="28"/>
        </w:rPr>
      </w:pPr>
    </w:p>
    <w:p>
      <w:pPr>
        <w:pStyle w:val="3"/>
        <w:numPr>
          <w:ilvl w:val="0"/>
          <w:numId w:val="1"/>
        </w:numPr>
        <w:spacing w:line="400" w:lineRule="atLeast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秦观《望海潮·梅英疏淡》《千秋岁·水边沙外》比照</w:t>
      </w:r>
    </w:p>
    <w:p>
      <w:pPr>
        <w:spacing w:line="400" w:lineRule="atLeast"/>
        <w:ind w:firstLine="560" w:firstLineChars="200"/>
        <w:jc w:val="center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望海潮·梅英疏淡</w:t>
      </w:r>
    </w:p>
    <w:p>
      <w:pPr>
        <w:spacing w:line="400" w:lineRule="atLeast"/>
        <w:ind w:firstLine="560" w:firstLineChars="200"/>
        <w:jc w:val="center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梅英疏淡，冰澌溶泄，东风暗换年华。金谷俊游，铜驼巷陌，新晴细履平沙。长记误随车。正絮翻蝶舞，芳思交加。柳下桃蹊，乱分春色到人家。</w:t>
      </w:r>
    </w:p>
    <w:p>
      <w:pPr>
        <w:spacing w:line="400" w:lineRule="atLeast"/>
        <w:ind w:firstLine="560" w:firstLineChars="200"/>
        <w:jc w:val="center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西园夜饮鸣笳。有华灯碍月，飞盖妨花。兰苑未空，行人渐老，重来是事堪嗟。烟暝酒旗斜。但倚楼极目，时见鸦。无奈归心，暗随流水到天涯。</w:t>
      </w:r>
      <w:r>
        <w:rPr>
          <w:rFonts w:ascii="楷体" w:hAnsi="楷体" w:eastAsia="楷体"/>
          <w:sz w:val="28"/>
          <w:szCs w:val="28"/>
          <w:vertAlign w:val="superscript"/>
        </w:rPr>
        <w:footnoteReference w:id="2"/>
      </w:r>
    </w:p>
    <w:p>
      <w:pPr>
        <w:spacing w:line="400" w:lineRule="atLeast"/>
        <w:rPr>
          <w:rFonts w:ascii="楷体" w:hAnsi="楷体" w:eastAsia="楷体"/>
          <w:sz w:val="28"/>
          <w:szCs w:val="28"/>
        </w:rPr>
      </w:pPr>
    </w:p>
    <w:p>
      <w:pPr>
        <w:spacing w:line="400" w:lineRule="atLeast"/>
        <w:ind w:firstLine="560" w:firstLineChars="200"/>
        <w:jc w:val="center"/>
        <w:rPr>
          <w:rFonts w:ascii="楷体" w:hAnsi="楷体" w:eastAsia="楷体"/>
          <w:sz w:val="28"/>
          <w:szCs w:val="28"/>
        </w:rPr>
      </w:pPr>
      <w:r>
        <w:rPr>
          <w:rFonts w:ascii="楷体" w:hAnsi="楷体" w:eastAsia="楷体"/>
          <w:sz w:val="28"/>
          <w:szCs w:val="28"/>
        </w:rPr>
        <w:t>千秋岁·水边沙外</w:t>
      </w:r>
    </w:p>
    <w:p>
      <w:pPr>
        <w:spacing w:line="400" w:lineRule="atLeast"/>
        <w:ind w:firstLine="560" w:firstLineChars="200"/>
        <w:jc w:val="center"/>
        <w:rPr>
          <w:rFonts w:ascii="楷体" w:hAnsi="楷体" w:eastAsia="楷体"/>
          <w:sz w:val="28"/>
          <w:szCs w:val="28"/>
        </w:rPr>
      </w:pPr>
      <w:r>
        <w:rPr>
          <w:rFonts w:ascii="楷体" w:hAnsi="楷体" w:eastAsia="楷体"/>
          <w:sz w:val="28"/>
          <w:szCs w:val="28"/>
        </w:rPr>
        <w:t>水边沙外。城郭春寒退。花影乱，莺声碎。飘零疏酒盏，离别宽衣带。人不见，碧云暮合空相对。</w:t>
      </w:r>
      <w:r>
        <w:rPr>
          <w:rFonts w:ascii="楷体" w:hAnsi="楷体" w:eastAsia="楷体"/>
          <w:sz w:val="28"/>
          <w:szCs w:val="28"/>
        </w:rPr>
        <w:br w:type="textWrapping"/>
      </w:r>
      <w:r>
        <w:rPr>
          <w:rFonts w:ascii="楷体" w:hAnsi="楷体" w:eastAsia="楷体"/>
          <w:sz w:val="28"/>
          <w:szCs w:val="28"/>
        </w:rPr>
        <w:t>忆昔西池会。鹓鹭同飞盖。携手处，今谁在。日边清梦断，镜里朱颜改。春去也，飞红万点愁如海。</w:t>
      </w:r>
      <w:r>
        <w:rPr>
          <w:rStyle w:val="9"/>
          <w:rFonts w:ascii="楷体" w:hAnsi="楷体" w:eastAsia="楷体"/>
          <w:sz w:val="28"/>
          <w:szCs w:val="28"/>
        </w:rPr>
        <w:footnoteReference w:id="3"/>
      </w:r>
    </w:p>
    <w:p>
      <w:pPr>
        <w:spacing w:line="400" w:lineRule="atLeast"/>
        <w:rPr>
          <w:rFonts w:ascii="宋体" w:hAnsi="宋体" w:eastAsia="宋体"/>
          <w:sz w:val="28"/>
          <w:szCs w:val="28"/>
        </w:rPr>
      </w:pPr>
    </w:p>
    <w:p>
      <w:pPr>
        <w:spacing w:line="400" w:lineRule="atLeast"/>
        <w:ind w:firstLine="560" w:firstLine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这两首词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创</w:t>
      </w:r>
      <w:r>
        <w:rPr>
          <w:rFonts w:hint="eastAsia" w:ascii="宋体" w:hAnsi="宋体" w:eastAsia="宋体"/>
          <w:sz w:val="28"/>
          <w:szCs w:val="28"/>
        </w:rPr>
        <w:t>作于秦观遭受政治打击之际。绍圣党禁中，以苏轼为代表的旧党被驱逐出核心政治舞台，并遭一再追贬，很多人终因老病而死于谪居之地或左迁之途，在生命的最后饱尝失意和沉沦。</w:t>
      </w:r>
    </w:p>
    <w:p>
      <w:pPr>
        <w:spacing w:line="400" w:lineRule="atLeast"/>
        <w:ind w:firstLine="560" w:firstLine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较比苏轼“小舟从此逝，江海寄余生”的豁达，秦观的最后十二载困宥于谪迁的痛苦中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无法遣散内心的悲哀，直到《自作挽词》中仍然嗟叹“奇祸一朝作，飘零至于斯”，将心灵的困局归咎于绍圣党禁的“奇祸”，至死不能与过往完成和解。纵观秦观一生，早年，他沉浮科场，而苏门学士皆少年致仕；中年，他终能及第入京，西园夜饮，进入政治和文坛的中心，但这样的时光不过欻然一瞬。被驱逐出京的秦观，用他生命的最后十二年追思鲜花着锦的曾经，嗟叹沉沦飘零的现实。</w:t>
      </w:r>
    </w:p>
    <w:p>
      <w:pPr>
        <w:spacing w:line="400" w:lineRule="atLeast"/>
        <w:ind w:firstLine="560" w:firstLineChars="200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西园雅集在秦观的生命中留下浓墨重彩的一笔，……</w:t>
      </w:r>
    </w:p>
    <w:p>
      <w:pPr>
        <w:spacing w:line="400" w:lineRule="atLeast"/>
        <w:ind w:firstLine="560" w:firstLineChars="200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</w:rPr>
        <w:t>《望海潮》《千秋岁》便是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秦观怀古感遇</w:t>
      </w:r>
      <w:r>
        <w:rPr>
          <w:rFonts w:hint="eastAsia" w:ascii="宋体" w:hAnsi="宋体" w:eastAsia="宋体"/>
          <w:sz w:val="28"/>
          <w:szCs w:val="28"/>
        </w:rPr>
        <w:t>的作品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两首词所抒发的情感和所运用的意象具有相似之处。</w:t>
      </w:r>
    </w:p>
    <w:p>
      <w:pPr>
        <w:spacing w:line="400" w:lineRule="atLeast"/>
        <w:ind w:firstLine="560" w:firstLineChars="200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…………</w:t>
      </w:r>
    </w:p>
    <w:p>
      <w:pPr>
        <w:spacing w:line="400" w:lineRule="atLeast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同忆西园之昔，同写春日之景，同嗟谪迁之叹，这两首词因词体的差别而有结构组织的分别，因此所抒之情也有差异。</w:t>
      </w:r>
    </w:p>
    <w:p>
      <w:pPr>
        <w:spacing w:line="400" w:lineRule="atLeast"/>
        <w:ind w:firstLine="560" w:firstLine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从文本时空来看，《望海潮》的时空比较《千秋岁》层次更多、更深。《千秋岁》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和《望海潮》同有的是</w:t>
      </w:r>
      <w:r>
        <w:rPr>
          <w:rFonts w:hint="eastAsia" w:ascii="宋体" w:hAnsi="宋体" w:eastAsia="宋体"/>
          <w:sz w:val="28"/>
          <w:szCs w:val="28"/>
        </w:rPr>
        <w:t>此时宴席和往昔西园两个时空。而在《望海潮》中，秦观书写了此时春日、往昔御街、往昔西园、此时西园四个时空，有虚实今昔，有时间流转，有空间延伸。</w:t>
      </w:r>
    </w:p>
    <w:p>
      <w:pPr>
        <w:spacing w:line="400" w:lineRule="atLeast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从时空切换的方式来看，《千秋岁》是典型的上片即景，下片抒情的令曲写作模式：上片从远拉近，记录一场春日饯别的宴会；下片以“忆昔“领起对西园雅集的回忆，又以”今谁在“回到此时此地的时空，最后抒伤春伤逝之悲。而《望海潮》的时空切换更加复杂，现在与过往、实记与想象互相交融。</w:t>
      </w:r>
    </w:p>
    <w:p>
      <w:pPr>
        <w:spacing w:line="400" w:lineRule="atLeast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“梅英疏淡，冰澌溶泄，东风暗换年华“，词人敏锐觉知物候的变化，季节的更替。但在美好的春日要降临到“洛城”之时，他却不得不作为一个失败者离开此处。“金谷俊游，铜驼巷陌，新晴细履平沙“，御街上车来人往，俊才的鞋履踏过铺平的路面，他们的眼中写着勃勃的野心和希望——我曾经也是这样啊。词人以”长记“领起对志得意满时恣意游春的回忆：“长记误随车。正絮翻蝶舞，芳思交加。柳下桃蹊，乱分春色到人家。“彼时彼刻的秦观，眼中的春色是绚烂之极，因为进京后的他，认为自己的人生将会从此一路顺遂、一片光明。</w:t>
      </w:r>
    </w:p>
    <w:p>
      <w:pPr>
        <w:spacing w:line="400" w:lineRule="atLeast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西园雅集，是秦观人生中最盛大的记忆。“西园夜饮鸣笳。有华灯碍月，飞盖妨花”，十七位风流才俊，在政治和文坛的中心共同举杯，可谓辉煌。但这样的盛景将再不复现，此时此刻，在西园雅集的已不是他们了，“兰苑未空，行人渐老，重来是事堪嗟”，自此句词意陡传。作者在“烟暝酒旗斜”之处，想象此时彼地的西园，在虚实结合中生今昔对比之叹，“无奈归心，暗随流水到天涯”。</w:t>
      </w:r>
    </w:p>
    <w:p>
      <w:pPr>
        <w:spacing w:line="400" w:lineRule="atLeast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由此可见，《望海潮》中的多重时空架构不是仅通过领字进行的简单拼接，而是今昔相融、虚实交错，有“潜气内转“之感，即文气沉潜、回环并积聚，局势变换而气脉贯串。欲要“潜”，则需要“千回百折”的“敛”之气，文本时空需有回环转折，且这样的回环转折不能靠虚的领字去完成，如“忆昔西池会”中之“忆”。因这样的文意是显性的。在转接提顿处多用实词，可以达到“神圆”</w:t>
      </w:r>
      <w:r>
        <w:rPr>
          <w:rStyle w:val="9"/>
          <w:rFonts w:ascii="宋体" w:hAnsi="宋体" w:eastAsia="宋体"/>
          <w:sz w:val="28"/>
          <w:szCs w:val="28"/>
        </w:rPr>
        <w:footnoteReference w:id="4"/>
      </w:r>
      <w:r>
        <w:rPr>
          <w:rFonts w:hint="eastAsia" w:ascii="宋体" w:hAnsi="宋体" w:eastAsia="宋体"/>
          <w:sz w:val="28"/>
          <w:szCs w:val="28"/>
        </w:rPr>
        <w:t>的效果，使词脉在迂回中有浑然。《望海潮》中仅有一次传接以“长记”领起，其余皆用实字进行承接转折。虚字的转接提顿是明的，实字的转接提顿则是暗的，对比《千秋岁》明了的时空结构，《望海潮》显得质实晦昧，但文气下潜而内转，有“神圆”。</w:t>
      </w:r>
      <w:r>
        <w:rPr>
          <w:rStyle w:val="9"/>
          <w:rFonts w:ascii="宋体" w:hAnsi="宋体" w:eastAsia="宋体"/>
          <w:sz w:val="28"/>
          <w:szCs w:val="28"/>
        </w:rPr>
        <w:footnoteReference w:id="5"/>
      </w:r>
    </w:p>
    <w:p>
      <w:pPr>
        <w:spacing w:line="400" w:lineRule="atLeast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因结构形式不同而造成的词气差异，也使令曲和慢词在抒情方式上有了差异。《望海潮》的情感表露更加迂回曲折，深厚内敛。伤春、感遇、怀古、伤别之情在时空的变化中堆叠、萦绕、流露，静而深婉；《千秋岁》则有“劲气直达，大开大阖</w:t>
      </w:r>
      <w:r>
        <w:rPr>
          <w:rStyle w:val="9"/>
          <w:rFonts w:ascii="宋体" w:hAnsi="宋体" w:eastAsia="宋体"/>
          <w:sz w:val="28"/>
          <w:szCs w:val="28"/>
        </w:rPr>
        <w:footnoteReference w:id="6"/>
      </w:r>
      <w:r>
        <w:rPr>
          <w:rFonts w:hint="eastAsia" w:ascii="宋体" w:hAnsi="宋体" w:eastAsia="宋体"/>
          <w:sz w:val="28"/>
          <w:szCs w:val="28"/>
        </w:rPr>
        <w:t>”的舒放之气，情感表露一气呵成，且更为强烈，更为直露。</w:t>
      </w:r>
    </w:p>
    <w:p>
      <w:pPr>
        <w:spacing w:line="400" w:lineRule="atLeast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简言之，因文本容量大小、流行时间先后、音乐性强弱等差异，令曲与慢词有着不同的结构组织方式</w:t>
      </w:r>
      <w:r>
        <w:rPr>
          <w:rStyle w:val="9"/>
          <w:rFonts w:ascii="宋体" w:hAnsi="宋体" w:eastAsia="宋体"/>
          <w:sz w:val="28"/>
          <w:szCs w:val="28"/>
        </w:rPr>
        <w:footnoteReference w:id="7"/>
      </w:r>
      <w:r>
        <w:rPr>
          <w:rFonts w:hint="eastAsia" w:ascii="宋体" w:hAnsi="宋体" w:eastAsia="宋体"/>
          <w:sz w:val="28"/>
          <w:szCs w:val="28"/>
        </w:rPr>
        <w:t>，也因此有词气的“舒“和”敛</w:t>
      </w:r>
      <w:r>
        <w:rPr>
          <w:rFonts w:hint="eastAsia" w:ascii="宋体" w:hAnsi="宋体" w:eastAsia="宋体"/>
          <w:sz w:val="28"/>
          <w:szCs w:val="28"/>
          <w:lang w:eastAsia="zh-CN"/>
        </w:rPr>
        <w:t>”</w:t>
      </w:r>
      <w:r>
        <w:rPr>
          <w:rFonts w:hint="eastAsia" w:ascii="宋体" w:hAnsi="宋体" w:eastAsia="宋体"/>
          <w:sz w:val="28"/>
          <w:szCs w:val="28"/>
        </w:rPr>
        <w:t>之分。这就致使在表达类似情感时，令曲和慢词的抒情也会有所差异：前者较明了直露，后者较复杂迂回。</w:t>
      </w:r>
    </w:p>
    <w:p>
      <w:pPr>
        <w:spacing w:line="400" w:lineRule="atLeast"/>
        <w:ind w:firstLine="560" w:firstLineChars="200"/>
        <w:rPr>
          <w:rFonts w:ascii="宋体" w:hAnsi="宋体" w:eastAsia="宋体"/>
          <w:sz w:val="28"/>
          <w:szCs w:val="28"/>
        </w:rPr>
      </w:pPr>
    </w:p>
    <w:p>
      <w:pPr>
        <w:spacing w:line="400" w:lineRule="atLeast"/>
        <w:ind w:firstLine="560" w:firstLineChars="200"/>
        <w:rPr>
          <w:rFonts w:ascii="宋体" w:hAnsi="宋体" w:eastAsia="宋体"/>
          <w:sz w:val="28"/>
          <w:szCs w:val="28"/>
        </w:rPr>
      </w:pPr>
    </w:p>
    <w:p>
      <w:pPr>
        <w:pStyle w:val="3"/>
        <w:numPr>
          <w:ilvl w:val="0"/>
          <w:numId w:val="1"/>
        </w:numPr>
        <w:spacing w:line="400" w:lineRule="atLeast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外话</w:t>
      </w:r>
    </w:p>
    <w:p>
      <w:pPr>
        <w:spacing w:line="400" w:lineRule="atLeast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苏轼的“人生如梦，一尊还酹江月”，将个人的郁懑遣散于天地之间，达到一种“无身”的状态，与形而上的境界相通。秦观的关注点却总是落回自身，“无奈归心，暗随流水到天涯”，他反复嗟叹自己的不幸，这种悲叹因过多的重复甚至形成了一种强迫，让他陷落在怨艾的罗网中无法摆脱。他的痛苦是身体内的狂风，不断冲撞回荡。苏轼通过超脱获得平静，而秦观始终不能平息心灵的噪音。他内心的喧嚣外显于文本中，即成一种凄清而暗藏锐鸣的词境。“郴江自幸绕郴山，为谁流下潇湘去”、“可堪孤馆闭春寒，杜鹃声里斜阳暮”、“</w:t>
      </w:r>
      <w:r>
        <w:rPr>
          <w:rFonts w:ascii="宋体" w:hAnsi="宋体" w:eastAsia="宋体"/>
          <w:sz w:val="28"/>
          <w:szCs w:val="28"/>
        </w:rPr>
        <w:t>春去也，飞红万点愁如海</w:t>
      </w:r>
      <w:r>
        <w:rPr>
          <w:rFonts w:hint="eastAsia" w:ascii="宋体" w:hAnsi="宋体" w:eastAsia="宋体"/>
          <w:sz w:val="28"/>
          <w:szCs w:val="28"/>
        </w:rPr>
        <w:t>”，秦观后期的词作多写“有我之境”，为万物涂抹上“我之色彩”，这种色彩乍看是凄婉动人的，细听却有凄厉尖锐之音，这样的凄鸣正来自于词人内心的漩涡。</w:t>
      </w:r>
    </w:p>
    <w:p>
      <w:pPr>
        <w:spacing w:line="400" w:lineRule="atLeast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困住秦观的不是不幸，而是他对不幸的自恋式的目光。在舔舐伤口时，他对拥有这道伤口的自己进行反复的检视、反复的怜悯，最后即成为了一种自恋。他是一个嗜痛患者，在剖开伤口的时候感到快意，并因这样的快感而把疤痕</w:t>
      </w:r>
      <w:bookmarkStart w:id="0" w:name="_GoBack"/>
      <w:bookmarkEnd w:id="0"/>
      <w:r>
        <w:rPr>
          <w:rFonts w:hint="eastAsia" w:ascii="宋体" w:hAnsi="宋体" w:eastAsia="宋体"/>
          <w:sz w:val="28"/>
          <w:szCs w:val="28"/>
        </w:rPr>
        <w:t>一次次撕裂，直到不能承受的鲜血淋漓，失血而亡。</w:t>
      </w:r>
    </w:p>
    <w:p>
      <w:pPr>
        <w:spacing w:line="400" w:lineRule="atLeast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但我们怎能批评秦观。当我们面对不幸时，我们真的能够成为苏轼吗？</w:t>
      </w:r>
    </w:p>
    <w:p>
      <w:pPr>
        <w:spacing w:line="400" w:lineRule="atLeast"/>
        <w:ind w:firstLine="560" w:firstLineChars="200"/>
        <w:rPr>
          <w:rFonts w:ascii="宋体" w:hAnsi="宋体" w:eastAsia="宋体"/>
          <w:sz w:val="28"/>
          <w:szCs w:val="28"/>
        </w:rPr>
      </w:pPr>
    </w:p>
    <w:p>
      <w:pPr>
        <w:spacing w:line="400" w:lineRule="atLeast"/>
        <w:ind w:firstLine="560" w:firstLineChars="200"/>
        <w:rPr>
          <w:rFonts w:ascii="宋体" w:hAnsi="宋体" w:eastAsia="宋体"/>
          <w:sz w:val="28"/>
          <w:szCs w:val="28"/>
        </w:rPr>
      </w:pPr>
    </w:p>
    <w:p>
      <w:pPr>
        <w:spacing w:line="400" w:lineRule="atLeast"/>
        <w:rPr>
          <w:rFonts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16">
    <w:p>
      <w:r>
        <w:separator/>
      </w:r>
    </w:p>
  </w:footnote>
  <w:footnote w:type="continuationSeparator" w:id="17">
    <w:p>
      <w:r>
        <w:continuationSeparator/>
      </w:r>
    </w:p>
  </w:footnote>
  <w:footnote w:id="0">
    <w:p>
      <w:pPr>
        <w:pStyle w:val="6"/>
        <w:rPr>
          <w:rFonts w:ascii="宋体" w:hAnsi="宋体" w:eastAsia="宋体"/>
        </w:rPr>
      </w:pPr>
      <w:r>
        <w:rPr>
          <w:rStyle w:val="9"/>
          <w:rFonts w:ascii="宋体" w:hAnsi="宋体" w:eastAsia="宋体"/>
        </w:rPr>
        <w:footnoteRef/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赵惠俊：《朝野与雅俗</w:t>
      </w:r>
      <w:r>
        <w:rPr>
          <w:rFonts w:ascii="宋体" w:hAnsi="宋体" w:eastAsia="宋体"/>
        </w:rPr>
        <w:t>:宋真宗至高宗朝词坛生</w:t>
      </w:r>
      <w:r>
        <w:rPr>
          <w:rFonts w:hint="eastAsia" w:ascii="宋体" w:hAnsi="宋体" w:eastAsia="宋体"/>
        </w:rPr>
        <w:t>态与词体雅化研究》，上海：复旦大学出版社，2019年，第53页。</w:t>
      </w:r>
    </w:p>
  </w:footnote>
  <w:footnote w:id="1">
    <w:p>
      <w:pPr>
        <w:pStyle w:val="6"/>
        <w:rPr>
          <w:rFonts w:ascii="宋体" w:hAnsi="宋体" w:eastAsia="宋体"/>
        </w:rPr>
      </w:pPr>
      <w:r>
        <w:rPr>
          <w:rStyle w:val="9"/>
          <w:rFonts w:ascii="宋体" w:hAnsi="宋体" w:eastAsia="宋体"/>
        </w:rPr>
        <w:footnoteRef/>
      </w:r>
      <w:r>
        <w:rPr>
          <w:rFonts w:ascii="宋体" w:hAnsi="宋体" w:eastAsia="宋体"/>
        </w:rPr>
        <w:t xml:space="preserve"> 谢桃坊</w:t>
      </w:r>
      <w:r>
        <w:rPr>
          <w:rFonts w:hint="eastAsia" w:ascii="宋体" w:hAnsi="宋体" w:eastAsia="宋体"/>
        </w:rPr>
        <w:t>：《</w:t>
      </w:r>
      <w:r>
        <w:rPr>
          <w:rFonts w:ascii="宋体" w:hAnsi="宋体" w:eastAsia="宋体"/>
        </w:rPr>
        <w:t>唐宋词谱粹编</w:t>
      </w:r>
      <w:r>
        <w:rPr>
          <w:rFonts w:hint="eastAsia" w:ascii="宋体" w:hAnsi="宋体" w:eastAsia="宋体"/>
        </w:rPr>
        <w:t>》，四川：</w:t>
      </w:r>
      <w:r>
        <w:rPr>
          <w:rFonts w:ascii="宋体" w:hAnsi="宋体" w:eastAsia="宋体"/>
        </w:rPr>
        <w:t>四川人民出版社，2010</w:t>
      </w:r>
      <w:r>
        <w:rPr>
          <w:rFonts w:hint="eastAsia" w:ascii="宋体" w:hAnsi="宋体" w:eastAsia="宋体"/>
        </w:rPr>
        <w:t>年，第54页。</w:t>
      </w:r>
    </w:p>
  </w:footnote>
  <w:footnote w:id="2">
    <w:p>
      <w:pPr>
        <w:pStyle w:val="6"/>
        <w:rPr>
          <w:rFonts w:ascii="宋体" w:hAnsi="宋体" w:eastAsia="宋体"/>
        </w:rPr>
      </w:pPr>
      <w:r>
        <w:rPr>
          <w:rStyle w:val="9"/>
          <w:rFonts w:ascii="宋体" w:hAnsi="宋体" w:eastAsia="宋体"/>
        </w:rPr>
        <w:footnoteRef/>
      </w:r>
      <w:r>
        <w:rPr>
          <w:rFonts w:ascii="宋体" w:hAnsi="宋体" w:eastAsia="宋体"/>
        </w:rPr>
        <w:t xml:space="preserve"> 《唐宋词鉴赏辞典》唐·五代·北宋卷</w:t>
      </w:r>
      <w:r>
        <w:rPr>
          <w:rFonts w:hint="eastAsia" w:ascii="宋体" w:hAnsi="宋体" w:eastAsia="宋体"/>
        </w:rPr>
        <w:t>，上海：</w:t>
      </w:r>
      <w:r>
        <w:rPr>
          <w:rFonts w:ascii="宋体" w:hAnsi="宋体" w:eastAsia="宋体"/>
        </w:rPr>
        <w:t>上海辞书出版社，1988年，第820页</w:t>
      </w:r>
      <w:r>
        <w:rPr>
          <w:rFonts w:hint="eastAsia" w:ascii="宋体" w:hAnsi="宋体" w:eastAsia="宋体"/>
        </w:rPr>
        <w:t>。</w:t>
      </w:r>
    </w:p>
  </w:footnote>
  <w:footnote w:id="3">
    <w:p>
      <w:pPr>
        <w:pStyle w:val="6"/>
        <w:rPr>
          <w:rFonts w:ascii="宋体" w:hAnsi="宋体" w:eastAsia="宋体"/>
        </w:rPr>
      </w:pPr>
      <w:r>
        <w:rPr>
          <w:rStyle w:val="9"/>
          <w:rFonts w:ascii="宋体" w:hAnsi="宋体" w:eastAsia="宋体"/>
        </w:rPr>
        <w:footnoteRef/>
      </w:r>
      <w:r>
        <w:rPr>
          <w:rFonts w:ascii="宋体" w:hAnsi="宋体" w:eastAsia="宋体"/>
        </w:rPr>
        <w:t xml:space="preserve"> 孙崇恩</w:t>
      </w:r>
      <w:r>
        <w:rPr>
          <w:rFonts w:hint="eastAsia" w:ascii="宋体" w:hAnsi="宋体" w:eastAsia="宋体"/>
        </w:rPr>
        <w:t>：《</w:t>
      </w:r>
      <w:r>
        <w:rPr>
          <w:rFonts w:ascii="宋体" w:hAnsi="宋体" w:eastAsia="宋体"/>
        </w:rPr>
        <w:t>北宋婉约派四大名家词</w:t>
      </w:r>
      <w:r>
        <w:rPr>
          <w:rFonts w:hint="eastAsia" w:ascii="宋体" w:hAnsi="宋体" w:eastAsia="宋体"/>
        </w:rPr>
        <w:t>》，</w:t>
      </w:r>
      <w:r>
        <w:rPr>
          <w:rFonts w:ascii="宋体" w:hAnsi="宋体" w:eastAsia="宋体"/>
        </w:rPr>
        <w:t>北京</w:t>
      </w:r>
      <w:r>
        <w:rPr>
          <w:rFonts w:hint="eastAsia" w:ascii="宋体" w:hAnsi="宋体" w:eastAsia="宋体"/>
        </w:rPr>
        <w:t>：</w:t>
      </w:r>
      <w:r>
        <w:rPr>
          <w:rFonts w:ascii="宋体" w:hAnsi="宋体" w:eastAsia="宋体"/>
        </w:rPr>
        <w:t>中国书籍出版社</w:t>
      </w:r>
      <w:r>
        <w:rPr>
          <w:rFonts w:hint="eastAsia" w:ascii="宋体" w:hAnsi="宋体" w:eastAsia="宋体"/>
        </w:rPr>
        <w:t>，</w:t>
      </w:r>
      <w:r>
        <w:rPr>
          <w:rFonts w:ascii="宋体" w:hAnsi="宋体" w:eastAsia="宋体"/>
        </w:rPr>
        <w:t>1995</w:t>
      </w:r>
      <w:r>
        <w:rPr>
          <w:rFonts w:hint="eastAsia" w:ascii="宋体" w:hAnsi="宋体" w:eastAsia="宋体"/>
        </w:rPr>
        <w:t>年，第</w:t>
      </w:r>
      <w:r>
        <w:rPr>
          <w:rFonts w:ascii="宋体" w:hAnsi="宋体" w:eastAsia="宋体"/>
        </w:rPr>
        <w:t>62-64</w:t>
      </w:r>
      <w:r>
        <w:rPr>
          <w:rFonts w:hint="eastAsia" w:ascii="宋体" w:hAnsi="宋体" w:eastAsia="宋体"/>
        </w:rPr>
        <w:t>页。</w:t>
      </w:r>
    </w:p>
  </w:footnote>
  <w:footnote w:id="4">
    <w:p>
      <w:pPr>
        <w:pStyle w:val="6"/>
        <w:rPr>
          <w:rFonts w:ascii="宋体" w:hAnsi="宋体" w:eastAsia="宋体"/>
        </w:rPr>
      </w:pPr>
      <w:r>
        <w:rPr>
          <w:rStyle w:val="9"/>
          <w:rFonts w:ascii="宋体" w:hAnsi="宋体" w:eastAsia="宋体"/>
        </w:rPr>
        <w:footnoteRef/>
      </w:r>
      <w:r>
        <w:rPr>
          <w:rFonts w:hint="eastAsia" w:ascii="宋体" w:hAnsi="宋体" w:eastAsia="宋体"/>
        </w:rPr>
        <w:t xml:space="preserve"> 况周颐：“词中转折宜圆”——况周颐撰、屈兴国辑注：《蕙风词话辑注》，江西：江西人民出版社，2000年，第</w:t>
      </w:r>
      <w:r>
        <w:rPr>
          <w:rFonts w:ascii="宋体" w:hAnsi="宋体" w:eastAsia="宋体"/>
        </w:rPr>
        <w:t>11</w:t>
      </w:r>
      <w:r>
        <w:rPr>
          <w:rFonts w:hint="eastAsia" w:ascii="宋体" w:hAnsi="宋体" w:eastAsia="宋体"/>
        </w:rPr>
        <w:t>页。</w:t>
      </w:r>
    </w:p>
  </w:footnote>
  <w:footnote w:id="5">
    <w:p>
      <w:pPr>
        <w:pStyle w:val="6"/>
        <w:rPr>
          <w:rFonts w:ascii="宋体" w:hAnsi="宋体" w:eastAsia="宋体"/>
        </w:rPr>
      </w:pPr>
      <w:r>
        <w:rPr>
          <w:rStyle w:val="9"/>
          <w:rFonts w:ascii="宋体" w:hAnsi="宋体" w:eastAsia="宋体"/>
        </w:rPr>
        <w:footnoteRef/>
      </w:r>
      <w:r>
        <w:rPr>
          <w:rFonts w:hint="eastAsia" w:ascii="宋体" w:hAnsi="宋体" w:eastAsia="宋体"/>
        </w:rPr>
        <w:t xml:space="preserve"> 彭玉平：《词学史上的“潜气内转”说》[J]，文学评论，2012，第197-208页。</w:t>
      </w:r>
    </w:p>
  </w:footnote>
  <w:footnote w:id="6">
    <w:p>
      <w:pPr>
        <w:pStyle w:val="6"/>
        <w:rPr>
          <w:rFonts w:ascii="宋体" w:hAnsi="宋体" w:eastAsia="宋体"/>
        </w:rPr>
      </w:pPr>
      <w:r>
        <w:rPr>
          <w:rStyle w:val="9"/>
          <w:rFonts w:ascii="宋体" w:hAnsi="宋体" w:eastAsia="宋体"/>
        </w:rPr>
        <w:footnoteRef/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陈匪石：《声执》卷上，江苏：江苏古籍出版社，2022年，第</w:t>
      </w:r>
      <w:r>
        <w:rPr>
          <w:rFonts w:ascii="宋体" w:hAnsi="宋体" w:eastAsia="宋体"/>
        </w:rPr>
        <w:t>188</w:t>
      </w:r>
      <w:r>
        <w:rPr>
          <w:rFonts w:hint="eastAsia" w:ascii="宋体" w:hAnsi="宋体" w:eastAsia="宋体"/>
        </w:rPr>
        <w:t>-</w:t>
      </w:r>
      <w:r>
        <w:rPr>
          <w:rFonts w:ascii="宋体" w:hAnsi="宋体" w:eastAsia="宋体"/>
        </w:rPr>
        <w:t>189</w:t>
      </w:r>
      <w:r>
        <w:rPr>
          <w:rFonts w:hint="eastAsia" w:ascii="宋体" w:hAnsi="宋体" w:eastAsia="宋体"/>
        </w:rPr>
        <w:t>页。</w:t>
      </w:r>
    </w:p>
  </w:footnote>
  <w:footnote w:id="7">
    <w:p>
      <w:pPr>
        <w:pStyle w:val="6"/>
        <w:rPr>
          <w:rFonts w:ascii="宋体" w:hAnsi="宋体" w:eastAsia="宋体"/>
        </w:rPr>
      </w:pPr>
      <w:r>
        <w:rPr>
          <w:rStyle w:val="9"/>
          <w:rFonts w:ascii="宋体" w:hAnsi="宋体" w:eastAsia="宋体"/>
        </w:rPr>
        <w:footnoteRef/>
      </w:r>
      <w:r>
        <w:rPr>
          <w:rFonts w:ascii="宋体" w:hAnsi="宋体" w:eastAsia="宋体"/>
        </w:rPr>
        <w:t xml:space="preserve"> 赵</w:t>
      </w:r>
      <w:r>
        <w:rPr>
          <w:rFonts w:hint="eastAsia" w:ascii="宋体" w:hAnsi="宋体" w:eastAsia="宋体"/>
        </w:rPr>
        <w:t>惠俊：《朝野与雅俗</w:t>
      </w:r>
      <w:r>
        <w:rPr>
          <w:rFonts w:ascii="宋体" w:hAnsi="宋体" w:eastAsia="宋体"/>
        </w:rPr>
        <w:t>:宋真宗至高宗朝词坛生</w:t>
      </w:r>
      <w:r>
        <w:rPr>
          <w:rFonts w:hint="eastAsia" w:ascii="宋体" w:hAnsi="宋体" w:eastAsia="宋体"/>
        </w:rPr>
        <w:t>态与词体雅化研究》，上海：复旦大学出版社，2019年，第60页。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96770E"/>
    <w:multiLevelType w:val="multilevel"/>
    <w:tmpl w:val="4096770E"/>
    <w:lvl w:ilvl="0" w:tentative="0">
      <w:start w:val="1"/>
      <w:numFmt w:val="japaneseCounting"/>
      <w:lvlText w:val="%1.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16"/>
    <w:footnote w:id="17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wNTM5NzYwMDRjMzkwZTVkZjY2ODkwMGIxNGU0OTUifQ=="/>
  </w:docVars>
  <w:rsids>
    <w:rsidRoot w:val="009F5C8C"/>
    <w:rsid w:val="000005BE"/>
    <w:rsid w:val="00000644"/>
    <w:rsid w:val="00001869"/>
    <w:rsid w:val="00002646"/>
    <w:rsid w:val="000061BC"/>
    <w:rsid w:val="0000796C"/>
    <w:rsid w:val="000106CD"/>
    <w:rsid w:val="00013A9F"/>
    <w:rsid w:val="0002384E"/>
    <w:rsid w:val="0003202B"/>
    <w:rsid w:val="00032FC3"/>
    <w:rsid w:val="00034AFB"/>
    <w:rsid w:val="00043C2C"/>
    <w:rsid w:val="00050902"/>
    <w:rsid w:val="0005713A"/>
    <w:rsid w:val="000775BE"/>
    <w:rsid w:val="000803C5"/>
    <w:rsid w:val="0008407F"/>
    <w:rsid w:val="000C0FDA"/>
    <w:rsid w:val="000D7F0A"/>
    <w:rsid w:val="000E4361"/>
    <w:rsid w:val="000E482D"/>
    <w:rsid w:val="00101C83"/>
    <w:rsid w:val="001045D2"/>
    <w:rsid w:val="0011611C"/>
    <w:rsid w:val="0012048C"/>
    <w:rsid w:val="0013489A"/>
    <w:rsid w:val="00144C91"/>
    <w:rsid w:val="001453E1"/>
    <w:rsid w:val="0015130C"/>
    <w:rsid w:val="00175A52"/>
    <w:rsid w:val="00182C7E"/>
    <w:rsid w:val="001B2716"/>
    <w:rsid w:val="001D0CF8"/>
    <w:rsid w:val="001D52E7"/>
    <w:rsid w:val="001D6DA0"/>
    <w:rsid w:val="001E241C"/>
    <w:rsid w:val="001E4B8E"/>
    <w:rsid w:val="001F37B4"/>
    <w:rsid w:val="001F3AAA"/>
    <w:rsid w:val="001F5133"/>
    <w:rsid w:val="0020195F"/>
    <w:rsid w:val="002053A4"/>
    <w:rsid w:val="00207634"/>
    <w:rsid w:val="00211E47"/>
    <w:rsid w:val="00212468"/>
    <w:rsid w:val="002222FD"/>
    <w:rsid w:val="00242738"/>
    <w:rsid w:val="00246B71"/>
    <w:rsid w:val="0025340F"/>
    <w:rsid w:val="00271156"/>
    <w:rsid w:val="00296BA4"/>
    <w:rsid w:val="002C759E"/>
    <w:rsid w:val="002D0039"/>
    <w:rsid w:val="002D373C"/>
    <w:rsid w:val="002E1F0E"/>
    <w:rsid w:val="002F198B"/>
    <w:rsid w:val="002F6743"/>
    <w:rsid w:val="002F76AB"/>
    <w:rsid w:val="0030412E"/>
    <w:rsid w:val="0031743C"/>
    <w:rsid w:val="00332B6D"/>
    <w:rsid w:val="0033486D"/>
    <w:rsid w:val="00341514"/>
    <w:rsid w:val="00343B8A"/>
    <w:rsid w:val="0036262E"/>
    <w:rsid w:val="0037581D"/>
    <w:rsid w:val="00381957"/>
    <w:rsid w:val="0039263D"/>
    <w:rsid w:val="003944BE"/>
    <w:rsid w:val="00395081"/>
    <w:rsid w:val="003A2233"/>
    <w:rsid w:val="003A2F17"/>
    <w:rsid w:val="003B3890"/>
    <w:rsid w:val="003C7A21"/>
    <w:rsid w:val="003D1C85"/>
    <w:rsid w:val="003D308F"/>
    <w:rsid w:val="003D674B"/>
    <w:rsid w:val="003E06CB"/>
    <w:rsid w:val="003F2091"/>
    <w:rsid w:val="00412CDA"/>
    <w:rsid w:val="0042272A"/>
    <w:rsid w:val="0042418C"/>
    <w:rsid w:val="00433D0C"/>
    <w:rsid w:val="00443724"/>
    <w:rsid w:val="00447719"/>
    <w:rsid w:val="004478BD"/>
    <w:rsid w:val="00461786"/>
    <w:rsid w:val="00461C61"/>
    <w:rsid w:val="00462EC6"/>
    <w:rsid w:val="00475D79"/>
    <w:rsid w:val="004778AE"/>
    <w:rsid w:val="004874C7"/>
    <w:rsid w:val="004901A1"/>
    <w:rsid w:val="00492CBC"/>
    <w:rsid w:val="00497817"/>
    <w:rsid w:val="004A4190"/>
    <w:rsid w:val="004A574D"/>
    <w:rsid w:val="004B64F1"/>
    <w:rsid w:val="004B7D04"/>
    <w:rsid w:val="004C5EEB"/>
    <w:rsid w:val="004C6704"/>
    <w:rsid w:val="004C67A5"/>
    <w:rsid w:val="004E2BA4"/>
    <w:rsid w:val="004E36EA"/>
    <w:rsid w:val="004E4C32"/>
    <w:rsid w:val="005324F5"/>
    <w:rsid w:val="00544773"/>
    <w:rsid w:val="005475DB"/>
    <w:rsid w:val="0055653B"/>
    <w:rsid w:val="005638F5"/>
    <w:rsid w:val="005762DF"/>
    <w:rsid w:val="00586677"/>
    <w:rsid w:val="00595743"/>
    <w:rsid w:val="00597587"/>
    <w:rsid w:val="005A06B5"/>
    <w:rsid w:val="005C051D"/>
    <w:rsid w:val="005C0ADB"/>
    <w:rsid w:val="005D4548"/>
    <w:rsid w:val="005D72B7"/>
    <w:rsid w:val="005E1974"/>
    <w:rsid w:val="00600E7E"/>
    <w:rsid w:val="0060746A"/>
    <w:rsid w:val="006104F6"/>
    <w:rsid w:val="00614485"/>
    <w:rsid w:val="006210FF"/>
    <w:rsid w:val="00623149"/>
    <w:rsid w:val="006403D6"/>
    <w:rsid w:val="0064344C"/>
    <w:rsid w:val="006515AC"/>
    <w:rsid w:val="006644DA"/>
    <w:rsid w:val="00670A83"/>
    <w:rsid w:val="006A025E"/>
    <w:rsid w:val="006A0A4F"/>
    <w:rsid w:val="006B52F6"/>
    <w:rsid w:val="006B77B8"/>
    <w:rsid w:val="006D72FC"/>
    <w:rsid w:val="006E304E"/>
    <w:rsid w:val="00717396"/>
    <w:rsid w:val="00732044"/>
    <w:rsid w:val="00736A98"/>
    <w:rsid w:val="00744C96"/>
    <w:rsid w:val="00746E45"/>
    <w:rsid w:val="00754182"/>
    <w:rsid w:val="007640CD"/>
    <w:rsid w:val="00766FAD"/>
    <w:rsid w:val="00777048"/>
    <w:rsid w:val="007772DF"/>
    <w:rsid w:val="007A3D98"/>
    <w:rsid w:val="007B39EF"/>
    <w:rsid w:val="007C064D"/>
    <w:rsid w:val="007D0F3D"/>
    <w:rsid w:val="007D59F9"/>
    <w:rsid w:val="007E3B68"/>
    <w:rsid w:val="007E4B7A"/>
    <w:rsid w:val="007E7A48"/>
    <w:rsid w:val="008070F2"/>
    <w:rsid w:val="00810B75"/>
    <w:rsid w:val="00847166"/>
    <w:rsid w:val="00850F9B"/>
    <w:rsid w:val="008551D8"/>
    <w:rsid w:val="00882DA7"/>
    <w:rsid w:val="00884909"/>
    <w:rsid w:val="00896F66"/>
    <w:rsid w:val="008C7B1B"/>
    <w:rsid w:val="008D52E6"/>
    <w:rsid w:val="008D6DFE"/>
    <w:rsid w:val="008E1134"/>
    <w:rsid w:val="008E3AC6"/>
    <w:rsid w:val="00901E50"/>
    <w:rsid w:val="00943781"/>
    <w:rsid w:val="009457B9"/>
    <w:rsid w:val="009467DA"/>
    <w:rsid w:val="00952D30"/>
    <w:rsid w:val="00953FCF"/>
    <w:rsid w:val="00960739"/>
    <w:rsid w:val="009644F2"/>
    <w:rsid w:val="0098448C"/>
    <w:rsid w:val="0098459A"/>
    <w:rsid w:val="00984B77"/>
    <w:rsid w:val="00992314"/>
    <w:rsid w:val="009A78D1"/>
    <w:rsid w:val="009E080B"/>
    <w:rsid w:val="009E0CFC"/>
    <w:rsid w:val="009F41B6"/>
    <w:rsid w:val="009F5C8C"/>
    <w:rsid w:val="00A0140E"/>
    <w:rsid w:val="00A124CA"/>
    <w:rsid w:val="00A132D9"/>
    <w:rsid w:val="00A23398"/>
    <w:rsid w:val="00A2476B"/>
    <w:rsid w:val="00A27F73"/>
    <w:rsid w:val="00A64FEA"/>
    <w:rsid w:val="00A6716C"/>
    <w:rsid w:val="00A672C1"/>
    <w:rsid w:val="00A84768"/>
    <w:rsid w:val="00AA3D75"/>
    <w:rsid w:val="00AA4A4A"/>
    <w:rsid w:val="00AA5847"/>
    <w:rsid w:val="00AA5DB9"/>
    <w:rsid w:val="00AA5E12"/>
    <w:rsid w:val="00AA6309"/>
    <w:rsid w:val="00AB0720"/>
    <w:rsid w:val="00AC39D8"/>
    <w:rsid w:val="00AD26C1"/>
    <w:rsid w:val="00AE3126"/>
    <w:rsid w:val="00AE6810"/>
    <w:rsid w:val="00AE6B8D"/>
    <w:rsid w:val="00AF3C37"/>
    <w:rsid w:val="00AF76BD"/>
    <w:rsid w:val="00B01D15"/>
    <w:rsid w:val="00B13816"/>
    <w:rsid w:val="00B21B1D"/>
    <w:rsid w:val="00B42C21"/>
    <w:rsid w:val="00B46FEC"/>
    <w:rsid w:val="00B515F8"/>
    <w:rsid w:val="00B547A5"/>
    <w:rsid w:val="00B63D7E"/>
    <w:rsid w:val="00B77FEE"/>
    <w:rsid w:val="00BA0F94"/>
    <w:rsid w:val="00BA162C"/>
    <w:rsid w:val="00BA3086"/>
    <w:rsid w:val="00BB0318"/>
    <w:rsid w:val="00BC45BF"/>
    <w:rsid w:val="00BD17AE"/>
    <w:rsid w:val="00BD7D78"/>
    <w:rsid w:val="00BF5D45"/>
    <w:rsid w:val="00C138CA"/>
    <w:rsid w:val="00C529A6"/>
    <w:rsid w:val="00C530D2"/>
    <w:rsid w:val="00C65DAD"/>
    <w:rsid w:val="00C7447A"/>
    <w:rsid w:val="00C74DD0"/>
    <w:rsid w:val="00C75411"/>
    <w:rsid w:val="00C8456B"/>
    <w:rsid w:val="00C86C3E"/>
    <w:rsid w:val="00C97003"/>
    <w:rsid w:val="00CA76DB"/>
    <w:rsid w:val="00CD11ED"/>
    <w:rsid w:val="00CD4058"/>
    <w:rsid w:val="00CD701C"/>
    <w:rsid w:val="00CF1517"/>
    <w:rsid w:val="00CF79A4"/>
    <w:rsid w:val="00D121E9"/>
    <w:rsid w:val="00D13CF7"/>
    <w:rsid w:val="00D37BE9"/>
    <w:rsid w:val="00D436F3"/>
    <w:rsid w:val="00D73FB7"/>
    <w:rsid w:val="00D8029A"/>
    <w:rsid w:val="00D870B1"/>
    <w:rsid w:val="00D92A04"/>
    <w:rsid w:val="00D978E3"/>
    <w:rsid w:val="00DA6AE1"/>
    <w:rsid w:val="00DB3B61"/>
    <w:rsid w:val="00DB4BEE"/>
    <w:rsid w:val="00DB4FCD"/>
    <w:rsid w:val="00DC6ED2"/>
    <w:rsid w:val="00DD2AC4"/>
    <w:rsid w:val="00DE3E3B"/>
    <w:rsid w:val="00DF2A54"/>
    <w:rsid w:val="00DF5198"/>
    <w:rsid w:val="00E102E8"/>
    <w:rsid w:val="00E26FED"/>
    <w:rsid w:val="00E40540"/>
    <w:rsid w:val="00E527CB"/>
    <w:rsid w:val="00E65DF1"/>
    <w:rsid w:val="00E70257"/>
    <w:rsid w:val="00E814DF"/>
    <w:rsid w:val="00E83191"/>
    <w:rsid w:val="00E93CDD"/>
    <w:rsid w:val="00E94E2A"/>
    <w:rsid w:val="00EA2A6C"/>
    <w:rsid w:val="00EB1040"/>
    <w:rsid w:val="00EC40F5"/>
    <w:rsid w:val="00EC62B6"/>
    <w:rsid w:val="00ED2351"/>
    <w:rsid w:val="00ED37F0"/>
    <w:rsid w:val="00EE5132"/>
    <w:rsid w:val="00EF0DE3"/>
    <w:rsid w:val="00F07E11"/>
    <w:rsid w:val="00F138B1"/>
    <w:rsid w:val="00F50026"/>
    <w:rsid w:val="00F50482"/>
    <w:rsid w:val="00F5312A"/>
    <w:rsid w:val="00F561F2"/>
    <w:rsid w:val="00F566E0"/>
    <w:rsid w:val="00F66C8A"/>
    <w:rsid w:val="00F72603"/>
    <w:rsid w:val="00F74607"/>
    <w:rsid w:val="00F75947"/>
    <w:rsid w:val="00F77F8A"/>
    <w:rsid w:val="00F8133F"/>
    <w:rsid w:val="00F824AC"/>
    <w:rsid w:val="00FA2BA3"/>
    <w:rsid w:val="00FC06E8"/>
    <w:rsid w:val="00FC07B4"/>
    <w:rsid w:val="00FC670C"/>
    <w:rsid w:val="00FD29E0"/>
    <w:rsid w:val="00FE3CF1"/>
    <w:rsid w:val="00FF2A2C"/>
    <w:rsid w:val="00FF6B6B"/>
    <w:rsid w:val="13BA2769"/>
    <w:rsid w:val="16BD5E48"/>
    <w:rsid w:val="35EE39D6"/>
    <w:rsid w:val="387A07BD"/>
    <w:rsid w:val="5FE24AEE"/>
    <w:rsid w:val="683926A8"/>
    <w:rsid w:val="68D66149"/>
    <w:rsid w:val="739015EB"/>
    <w:rsid w:val="7A6730A5"/>
    <w:rsid w:val="7C3A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0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4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footnote text"/>
    <w:basedOn w:val="1"/>
    <w:link w:val="11"/>
    <w:autoRedefine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9">
    <w:name w:val="footnote reference"/>
    <w:basedOn w:val="8"/>
    <w:semiHidden/>
    <w:unhideWhenUsed/>
    <w:qFormat/>
    <w:uiPriority w:val="99"/>
    <w:rPr>
      <w:vertAlign w:val="superscript"/>
    </w:rPr>
  </w:style>
  <w:style w:type="character" w:customStyle="1" w:styleId="10">
    <w:name w:val="标题 1 字符"/>
    <w:basedOn w:val="8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1">
    <w:name w:val="脚注文本 字符"/>
    <w:basedOn w:val="8"/>
    <w:link w:val="6"/>
    <w:autoRedefine/>
    <w:qFormat/>
    <w:uiPriority w:val="99"/>
    <w:rPr>
      <w:sz w:val="18"/>
      <w:szCs w:val="18"/>
    </w:rPr>
  </w:style>
  <w:style w:type="character" w:customStyle="1" w:styleId="12">
    <w:name w:val="标题 2 字符"/>
    <w:basedOn w:val="8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3">
    <w:name w:val="页眉 字符"/>
    <w:basedOn w:val="8"/>
    <w:link w:val="5"/>
    <w:autoRedefine/>
    <w:qFormat/>
    <w:uiPriority w:val="99"/>
    <w:rPr>
      <w:sz w:val="18"/>
      <w:szCs w:val="18"/>
    </w:rPr>
  </w:style>
  <w:style w:type="character" w:customStyle="1" w:styleId="14">
    <w:name w:val="页脚 字符"/>
    <w:basedOn w:val="8"/>
    <w:link w:val="4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BFB605-CF49-402E-90CE-BE7F439A849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495</Words>
  <Characters>2823</Characters>
  <Lines>23</Lines>
  <Paragraphs>6</Paragraphs>
  <TotalTime>13</TotalTime>
  <ScaleCrop>false</ScaleCrop>
  <LinksUpToDate>false</LinksUpToDate>
  <CharactersWithSpaces>3312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2024-05-15T01:31:00Z</dcterms:created>
  <dc:creator>8613405006414</dc:creator>
  <cp:lastModifiedBy>焕之</cp:lastModifiedBy>
  <cp:lastPrinted>2024-05-18T07:09:00Z</cp:lastPrinted>
  <dcterms:modified xsi:type="dcterms:W3CDTF">2024-05-19T01:14:48Z</dcterms:modified>
  <cp:revision>593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17597F8945C14113939FA6D6D8797D4E_12</vt:lpwstr>
  </property>
</Properties>
</file>