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microservices_seam_checklis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Microservices Seam Checklist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 this checklist for every critical seam in a microservices architecture.</w:t>
      </w:r>
    </w:p>
    <w:p>
      <w:pPr>
        <w:spacing w:line="360" w:before="315" w:after="105" w:lineRule="auto"/>
        <w:ind w:left="-30"/>
        <w:jc w:val="left"/>
      </w:pPr>
      <w:bookmarkStart w:id="1" w:name="before_design_implement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Before design / implementation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Seam identified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boundary between services/teams/vendors is explicitly named.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Owner assigned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named owner + backup owner (not "shared responsibility").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Contract defined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API/event/schema contract exists in a versioned repo.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Version strategy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versioning scheme and deprecation policy are documented.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Failure modes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timeout, retry, circuit-breaker, fallback behavior are specified.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Observability plan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logs, metrics, traces for the seam are defined.</w:t>
      </w:r>
    </w:p>
    <w:p>
      <w:pPr>
        <w:spacing w:line="360" w:before="315" w:after="105" w:lineRule="auto"/>
        <w:ind w:left="-30"/>
        <w:jc w:val="left"/>
      </w:pPr>
      <w:bookmarkStart w:id="2" w:name="test_strategy_for_the_seam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Test strategy for the seam</w:t>
      </w:r>
      <w:bookmarkEnd w:id="2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Contract tests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automated tests for schema/event compatibility (drift detection).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Integration tests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end-to-end tests crossing the seam with realistic data.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Race/timing tests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parallel workers, delayed responses, token refresh scenarios.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Version matrix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test N×±1 version combinations (producer/consumer).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Chaos tests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network latency, packet loss, service restarts at the seam.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Property-based tests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generate edge-case payloads for schema boundaries.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Fallback tests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verify graceful degradation when the seam fails.</w:t>
      </w:r>
    </w:p>
    <w:p>
      <w:pPr>
        <w:spacing w:line="360" w:before="315" w:after="105" w:lineRule="auto"/>
        <w:ind w:left="-30"/>
        <w:jc w:val="left"/>
      </w:pPr>
      <w:bookmarkStart w:id="3" w:name="metrics_and_threshold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Metrics and thresholds</w:t>
      </w:r>
      <w:bookmarkEnd w:id="3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End-to-end metric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business-aligned metric for the flow (e.g., success rate, latency p95).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Thresholds defined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SLO/SLA thresholds are set and documented.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Alert rules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alerts configured for threshold breaches (PagerDuty, Slack, Grafana).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Dashboard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seam metrics visible on a shared dashboard.</w:t>
      </w:r>
    </w:p>
    <w:p>
      <w:pPr>
        <w:spacing w:line="360" w:before="315" w:after="105" w:lineRule="auto"/>
        <w:ind w:left="-30"/>
        <w:jc w:val="left"/>
      </w:pPr>
      <w:bookmarkStart w:id="4" w:name="release_ga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Release gate</w:t>
      </w:r>
      <w:bookmarkEnd w:id="4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Certification suite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mandatory tests must pass before release.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Evidence pack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logs, traces, test results collected for each release.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Rollback plan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rollback procedure documented and tested.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Canary/feature flag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gradual rollout mechanism for seam changes.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Sign-off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owner + backup owner approve the release.</w:t>
      </w:r>
    </w:p>
    <w:p>
      <w:pPr>
        <w:spacing w:line="360" w:before="315" w:after="105" w:lineRule="auto"/>
        <w:ind w:left="-30"/>
        <w:jc w:val="left"/>
      </w:pPr>
      <w:bookmarkStart w:id="5" w:name="post_relea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Post-release</w:t>
      </w:r>
      <w:bookmarkEnd w:id="5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Monitoring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seam metrics monitored for 7 days post-release.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Incident playbook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steps for seam-related incidents documented.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Retrospective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seam incidents reviewed, ownership/metrics updated.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Register updated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Seam Ownership Register updated with lessons learned.</w:t>
      </w:r>
    </w:p>
    <w:p>
      <w:pPr>
        <w:spacing w:line="360" w:before="315" w:after="105" w:lineRule="auto"/>
        <w:ind w:left="-30"/>
        <w:jc w:val="left"/>
      </w:pPr>
      <w:bookmarkStart w:id="6" w:name="external_seams_vendors_partner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External seams (vendors/partners)</w:t>
      </w:r>
      <w:bookmarkEnd w:id="6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Partner contract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external API contract and SLA documented.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Shared test environment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sandbox/staging environment available.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Evidence from partner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test results, SLA reports, change notifications.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Customer risk assessment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impact on customers evaluated and documented.</w:t>
      </w:r>
    </w:p>
    <w:p>
      <w:pPr>
        <w:spacing w:line="360" w:before="315" w:after="105" w:lineRule="auto"/>
        <w:ind w:left="-30"/>
        <w:jc w:val="left"/>
      </w:pPr>
      <w:bookmarkStart w:id="7" w:name="ai_ml_seams_if_applicab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AI/ML seams (if applicable)</w:t>
      </w:r>
      <w:bookmarkEnd w:id="7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Golden dataset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evaluation dataset for model outputs at the seam.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Drift detection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model/data drift monitoring in place.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Fallback to rules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deterministic fallback when model confidence is low.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Human-in-the-loop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escalation path for edge cases.</w:t>
      </w:r>
    </w:p>
    <w:p>
      <w:pPr>
        <w:spacing w:line="360" w:before="315" w:after="105" w:lineRule="auto"/>
        <w:ind w:left="-30"/>
        <w:jc w:val="left"/>
      </w:pPr>
      <w:bookmarkStart w:id="8" w:name="bm_10_second_tes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10-Second Test</w:t>
      </w:r>
      <w:bookmarkEnd w:id="8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Owner named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can you name the seam owner in 10 seconds?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Metric named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can you name the end-to-end metric in 10 seconds?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Gate named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can you name the certification gate in 10 seconds?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If any answer is "no" or takes &gt;10 seconds, the seam is unowned — escalate.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2026-09-05T21:45:02.669Z</dcterms:created>
  <dcterms:modified xsi:type="dcterms:W3CDTF">2026-09-05T21:45:02.669Z</dcterms:modified>
</cp:coreProperties>
</file>