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Format:</w:t>
      </w:r>
      <w:r>
        <w:t xml:space="preserve"> </w:t>
      </w:r>
      <w:r>
        <w:t xml:space="preserve">DM attachment for Leonardo Lanni (joint article 29, variant C) — SEND tomorrow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24.09. Substance = Appendix A (W2 source) + tier matrix. Voice pass happens at merge, not before sending.</w:t>
      </w:r>
      <w:r>
        <w:t xml:space="preserve"> </w:t>
      </w:r>
      <w:r>
        <w:rPr>
          <w:b/>
          <w:bCs/>
        </w:rPr>
        <w:t xml:space="preserve">Do NOT include:</w:t>
      </w:r>
      <w:r>
        <w:t xml:space="preserve"> </w:t>
      </w:r>
      <w:r>
        <w:t xml:space="preserve">internal triage, P0 notes, Leonardo-bio details (his facts, his confirmation).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 Leonardo — as promised, my policy half. Full text below, review whenever ready.</w:t>
      </w:r>
    </w:p>
    <w:bookmarkStart w:id="13" w:name="Xfaf124c1c4914c3e20a16cf42e6a510fbeb7bc5"/>
    <w:p>
      <w:pPr>
        <w:pStyle w:val="Heading1"/>
      </w:pPr>
      <w:r>
        <w:t xml:space="preserve">Policy Half: VerdictGate — The Verdict Layer</w:t>
      </w:r>
    </w:p>
    <w:p>
      <w:pPr>
        <w:pStyle w:val="FirstParagraph"/>
      </w:pPr>
      <w:r>
        <w:rPr>
          <w:i/>
          <w:iCs/>
        </w:rPr>
        <w:t xml:space="preserve">The mutation is not the test. The mutant is the question. The survivor is the answer. The gate is the judgment.</w:t>
      </w:r>
    </w:p>
    <w:bookmarkStart w:id="9" w:name="the-verdict-layer-policy-on-green"/>
    <w:p>
      <w:pPr>
        <w:pStyle w:val="Heading2"/>
      </w:pPr>
      <w:r>
        <w:t xml:space="preserve">The Verdict Layer: Policy on Green</w:t>
      </w:r>
    </w:p>
    <w:p>
      <w:pPr>
        <w:pStyle w:val="FirstParagraph"/>
      </w:pPr>
      <w:r>
        <w:t xml:space="preserve">RMT tells you</w:t>
      </w:r>
      <w:r>
        <w:t xml:space="preserve"> </w:t>
      </w:r>
      <w:r>
        <w:rPr>
          <w:b/>
          <w:bCs/>
        </w:rPr>
        <w:t xml:space="preserve">whether the check can die</w:t>
      </w:r>
      <w:r>
        <w:t xml:space="preserve">. VerdictGate tells you</w:t>
      </w:r>
      <w:r>
        <w:t xml:space="preserve"> </w:t>
      </w:r>
      <w:r>
        <w:rPr>
          <w:b/>
          <w:bCs/>
        </w:rPr>
        <w:t xml:space="preserve">whether the green means go</w:t>
      </w:r>
      <w:r>
        <w:t xml:space="preserve">.</w:t>
      </w:r>
    </w:p>
    <w:p>
      <w:pPr>
        <w:pStyle w:val="BodyText"/>
      </w:pPr>
      <w:r>
        <w:t xml:space="preserve">Traditional mutation testing gives you a kill rate. A single number.</w:t>
      </w:r>
      <w:r>
        <w:t xml:space="preserve"> </w:t>
      </w:r>
      <w:r>
        <w:t xml:space="preserve">“87% killed — good job.”</w:t>
      </w:r>
      <w:r>
        <w:t xml:space="preserve"> </w:t>
      </w:r>
      <w:r>
        <w:t xml:space="preserve">But a 13% survival rate means something radically different if the survivors are in payment processing vs. the</w:t>
      </w:r>
      <w:r>
        <w:t xml:space="preserve"> </w:t>
      </w:r>
      <w:r>
        <w:t xml:space="preserve">“Thank you”</w:t>
      </w:r>
      <w:r>
        <w:t xml:space="preserve"> </w:t>
      </w:r>
      <w:r>
        <w:t xml:space="preserve">banner.</w:t>
      </w:r>
    </w:p>
    <w:p>
      <w:pPr>
        <w:pStyle w:val="BodyText"/>
      </w:pPr>
      <w:r>
        <w:t xml:space="preserve">VerdictGate adds the</w:t>
      </w:r>
      <w:r>
        <w:t xml:space="preserve"> </w:t>
      </w:r>
      <w:r>
        <w:rPr>
          <w:b/>
          <w:bCs/>
        </w:rPr>
        <w:t xml:space="preserve">policy layer</w:t>
      </w:r>
      <w:r>
        <w:t xml:space="preserve"> </w:t>
      </w:r>
      <w:r>
        <w:t xml:space="preserve">on top of mutation 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320"/>
        <w:gridCol w:w="2074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 Rule</w:t>
            </w:r>
          </w:p>
        </w:tc>
        <w:tc>
          <w:tcPr/>
          <w:p>
            <w:pPr>
              <w:pStyle w:val="Compact"/>
            </w:pPr>
            <w:r>
              <w:t xml:space="preserve">Signal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B0 Critical</w:t>
            </w:r>
          </w:p>
        </w:tc>
        <w:tc>
          <w:tcPr/>
          <w:p>
            <w:pPr>
              <w:pStyle w:val="Compact"/>
            </w:pPr>
            <w:r>
              <w:t xml:space="preserve">Payment, auth, credentials, data integrity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tolerance</w:t>
            </w:r>
            <w:r>
              <w:t xml:space="preserve"> </w:t>
            </w:r>
            <w:r>
              <w:t xml:space="preserve">— 0 survivors</w:t>
            </w:r>
          </w:p>
        </w:tc>
        <w:tc>
          <w:tcPr/>
          <w:p>
            <w:pPr>
              <w:pStyle w:val="Compact"/>
            </w:pPr>
            <w:r>
              <w:t xml:space="preserve">Score &lt; 90% → mandatory signed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B1 High</w:t>
            </w:r>
          </w:p>
        </w:tc>
        <w:tc>
          <w:tcPr/>
          <w:p>
            <w:pPr>
              <w:pStyle w:val="Compact"/>
            </w:pPr>
            <w:r>
              <w:t xml:space="preserve">Core journeys, primary CRUD, 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tolerance</w:t>
            </w:r>
            <w:r>
              <w:t xml:space="preserve"> </w:t>
            </w:r>
            <w:r>
              <w:t xml:space="preserve">— 0 survivors</w:t>
            </w:r>
          </w:p>
        </w:tc>
        <w:tc>
          <w:tcPr/>
          <w:p>
            <w:pPr>
              <w:pStyle w:val="Compact"/>
            </w:pPr>
            <w:r>
              <w:t xml:space="preserve">Score &lt; 80% → mandatory signed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 Medium</w:t>
            </w:r>
          </w:p>
        </w:tc>
        <w:tc>
          <w:tcPr/>
          <w:p>
            <w:pPr>
              <w:pStyle w:val="Compact"/>
            </w:pPr>
            <w:r>
              <w:t xml:space="preserve">Secondary flows, edge cases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</w:t>
            </w:r>
            <w:r>
              <w:t xml:space="preserve"> </w:t>
            </w:r>
            <w:r>
              <w:t xml:space="preserve">— ≤5% survivors (N≥20) or max 1 (N&lt;20)</w:t>
            </w:r>
          </w:p>
        </w:tc>
        <w:tc>
          <w:tcPr/>
          <w:p>
            <w:pPr>
              <w:pStyle w:val="Compact"/>
            </w:pPr>
            <w:r>
              <w:t xml:space="preserve">Score &lt; 90% → mandatory signed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Low</w:t>
            </w:r>
          </w:p>
        </w:tc>
        <w:tc>
          <w:tcPr/>
          <w:p>
            <w:pPr>
              <w:pStyle w:val="Compact"/>
            </w:pPr>
            <w:r>
              <w:t xml:space="preserve">Cosmetic, copy, layout</w:t>
            </w:r>
          </w:p>
        </w:tc>
        <w:tc>
          <w:tcPr/>
          <w:p>
            <w:pPr>
              <w:pStyle w:val="Compact"/>
            </w:pPr>
            <w:r>
              <w:t xml:space="preserve">Trend-only vs rolling 3-run baseline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global percentage.</w:t>
      </w:r>
      <w:r>
        <w:t xml:space="preserve"> </w:t>
      </w:r>
      <w:r>
        <w:t xml:space="preserve">Each tier has its own gate, its own signal budget, its own escalation path.</w:t>
      </w:r>
    </w:p>
    <w:bookmarkEnd w:id="9"/>
    <w:bookmarkStart w:id="10" w:name="the-evidence-contract-mutation-verdict"/>
    <w:p>
      <w:pPr>
        <w:pStyle w:val="Heading2"/>
      </w:pPr>
      <w:r>
        <w:t xml:space="preserve">The Evidence Contract: Mutation → Verdict</w:t>
      </w:r>
    </w:p>
    <w:p>
      <w:pPr>
        <w:pStyle w:val="FirstParagraph"/>
      </w:pPr>
      <w:r>
        <w:t xml:space="preserve">RMT (or traditional MT, or any mutation source) produces rows. VerdictGate consumes them: behaviour + tier + killed/survived + decision per row. No hidden state. Same CSV → same verdict, byte-identical, forever.</w:t>
      </w:r>
    </w:p>
    <w:bookmarkEnd w:id="10"/>
    <w:bookmarkStart w:id="11" w:name="the-gate-is-not-the-score"/>
    <w:p>
      <w:pPr>
        <w:pStyle w:val="Heading2"/>
      </w:pPr>
      <w:r>
        <w:t xml:space="preserve">The Gate Is Not the Score</w:t>
      </w:r>
    </w:p>
    <w:p>
      <w:pPr>
        <w:pStyle w:val="FirstParagraph"/>
      </w:pPr>
      <w:r>
        <w:t xml:space="preserve">VerdictGate separates</w:t>
      </w:r>
      <w:r>
        <w:t xml:space="preserve"> </w:t>
      </w:r>
      <w:r>
        <w:rPr>
          <w:b/>
          <w:bCs/>
        </w:rPr>
        <w:t xml:space="preserve">signal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gate</w:t>
      </w:r>
      <w:r>
        <w:t xml:space="preserve">. Mutation score per tier is a hard gate (B0/B1 zero-tolerance, B2 band, B3 trend); observed-only and mass rates are signals with budgets.</w:t>
      </w:r>
      <w:r>
        <w:t xml:space="preserve"> </w:t>
      </w:r>
      <w:r>
        <w:rPr>
          <w:b/>
          <w:bCs/>
        </w:rPr>
        <w:t xml:space="preserve">Signals inform. Gates decide.</w:t>
      </w:r>
      <w:r>
        <w:t xml:space="preserve"> </w:t>
      </w:r>
      <w:r>
        <w:t xml:space="preserve">A low score triggers a mandatory signed comment — not an auto-fail. A human decides, with evidence.</w:t>
      </w:r>
    </w:p>
    <w:bookmarkEnd w:id="11"/>
    <w:bookmarkStart w:id="12" w:name="tier-decision-rule-who-sets-tiers-when"/>
    <w:p>
      <w:pPr>
        <w:pStyle w:val="Heading2"/>
      </w:pPr>
      <w:r>
        <w:t xml:space="preserve">Tier Decision Rule (who sets tiers, when)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4118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Who assigns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suite</w:t>
            </w:r>
          </w:p>
        </w:tc>
        <w:tc>
          <w:tcPr/>
          <w:p>
            <w:pPr>
              <w:pStyle w:val="Compact"/>
            </w:pPr>
            <w:r>
              <w:t xml:space="preserve">QA engineer (author)</w:t>
            </w:r>
          </w:p>
        </w:tc>
        <w:tc>
          <w:tcPr/>
          <w:p>
            <w:pPr>
              <w:pStyle w:val="Compact"/>
            </w:pPr>
            <w:r>
              <w:t xml:space="preserve">pre-seed (requirements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eval</w:t>
            </w:r>
          </w:p>
        </w:tc>
        <w:tc>
          <w:tcPr/>
          <w:p>
            <w:pPr>
              <w:pStyle w:val="Compact"/>
            </w:pPr>
            <w:r>
              <w:t xml:space="preserve">evaluator</w:t>
            </w:r>
          </w:p>
        </w:tc>
        <w:tc>
          <w:tcPr/>
          <w:p>
            <w:pPr>
              <w:pStyle w:val="Compact"/>
            </w:pPr>
            <w:r>
              <w:t xml:space="preserve">at matrix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 pilot (us)</w:t>
            </w:r>
          </w:p>
        </w:tc>
        <w:tc>
          <w:tcPr/>
          <w:p>
            <w:pPr>
              <w:pStyle w:val="Compact"/>
            </w:pPr>
            <w:r>
              <w:t xml:space="preserve">You propose P-tier per verification point → I map P→B</w:t>
            </w:r>
          </w:p>
        </w:tc>
        <w:tc>
          <w:tcPr/>
          <w:p>
            <w:pPr>
              <w:pStyle w:val="Compact"/>
            </w:pPr>
            <w:r>
              <w:t xml:space="preserve">pre-seed relevance filter</w:t>
            </w:r>
          </w:p>
        </w:tc>
      </w:tr>
    </w:tbl>
    <w:p>
      <w:pPr>
        <w:pStyle w:val="BodyText"/>
      </w:pPr>
      <w:r>
        <w:t xml:space="preserve">Tiers are set BEFORE the run — otherwise the gate is gameable. Default mapping 1:1 (P0→B0 … P3→B3); disputes go to a joint review.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 (open source, MIT): https://github.com/victor-2026/verdictgate — 30-second failing example included. Looking forward to your RMT half!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2026-09-24T22:34:39Z</dcterms:created>
  <dcterms:modified xsi:type="dcterms:W3CDTF">2026-09-24T22:34:39Z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