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B5561" w14:textId="77777777" w:rsidR="00CF72EE" w:rsidRDefault="00CF72EE" w:rsidP="00CF72EE">
      <w:pPr>
        <w:pStyle w:val="Heading1"/>
        <w:spacing w:before="120" w:after="120"/>
        <w:rPr>
          <w:rFonts w:ascii="Century Gothic" w:hAnsi="Century Gothic"/>
        </w:rPr>
      </w:pPr>
    </w:p>
    <w:p w14:paraId="47475922" w14:textId="77777777" w:rsidR="00CF72EE" w:rsidRPr="00BA3742" w:rsidRDefault="00CF72EE" w:rsidP="00CF72EE">
      <w:pPr>
        <w:pStyle w:val="Heading1"/>
        <w:spacing w:before="120" w:after="120"/>
        <w:rPr>
          <w:rFonts w:ascii="Century Gothic" w:hAnsi="Century Gothic"/>
        </w:rPr>
      </w:pPr>
      <w:r>
        <w:rPr>
          <w:rFonts w:ascii="Century Gothic" w:hAnsi="Century Gothic"/>
        </w:rPr>
        <w:t>Background</w:t>
      </w:r>
    </w:p>
    <w:p w14:paraId="1733409A" w14:textId="77777777" w:rsidR="00CF72EE" w:rsidRDefault="00CF72EE" w:rsidP="00CF72EE">
      <w:pPr>
        <w:pStyle w:val="Heading1"/>
        <w:spacing w:before="120" w:after="120"/>
        <w:rPr>
          <w:rFonts w:ascii="Century Gothic" w:hAnsi="Century Gothic" w:cs="Times New Roman"/>
          <w:b w:val="0"/>
          <w:bCs w:val="0"/>
          <w:kern w:val="0"/>
          <w:sz w:val="20"/>
          <w:szCs w:val="20"/>
        </w:rPr>
      </w:pPr>
      <w:bookmarkStart w:id="0" w:name="_Toc208220957"/>
      <w:r w:rsidRPr="00846810">
        <w:rPr>
          <w:rFonts w:ascii="Century Gothic" w:hAnsi="Century Gothic" w:cs="Times New Roman"/>
          <w:b w:val="0"/>
          <w:bCs w:val="0"/>
          <w:kern w:val="0"/>
          <w:sz w:val="20"/>
          <w:szCs w:val="20"/>
        </w:rPr>
        <w:t>Junior ISA accounts are tax advantaged accounts offered in the UK</w:t>
      </w:r>
      <w:r>
        <w:rPr>
          <w:rFonts w:ascii="Century Gothic" w:hAnsi="Century Gothic" w:cs="Times New Roman"/>
          <w:b w:val="0"/>
          <w:bCs w:val="0"/>
          <w:kern w:val="0"/>
          <w:sz w:val="20"/>
          <w:szCs w:val="20"/>
        </w:rPr>
        <w:t>,</w:t>
      </w:r>
      <w:r w:rsidRPr="00846810">
        <w:rPr>
          <w:rFonts w:ascii="Century Gothic" w:hAnsi="Century Gothic" w:cs="Times New Roman"/>
          <w:b w:val="0"/>
          <w:bCs w:val="0"/>
          <w:kern w:val="0"/>
          <w:sz w:val="20"/>
          <w:szCs w:val="20"/>
        </w:rPr>
        <w:t xml:space="preserve"> </w:t>
      </w:r>
      <w:r>
        <w:rPr>
          <w:rFonts w:ascii="Century Gothic" w:hAnsi="Century Gothic" w:cs="Times New Roman"/>
          <w:b w:val="0"/>
          <w:bCs w:val="0"/>
          <w:kern w:val="0"/>
          <w:sz w:val="20"/>
          <w:szCs w:val="20"/>
        </w:rPr>
        <w:t xml:space="preserve">beginning November 1, 2011, </w:t>
      </w:r>
      <w:r w:rsidRPr="00846810">
        <w:rPr>
          <w:rFonts w:ascii="Century Gothic" w:hAnsi="Century Gothic" w:cs="Times New Roman"/>
          <w:b w:val="0"/>
          <w:bCs w:val="0"/>
          <w:kern w:val="0"/>
          <w:sz w:val="20"/>
          <w:szCs w:val="20"/>
        </w:rPr>
        <w:t xml:space="preserve">as investment vehicles to save for UK resident children under the age of 18.  </w:t>
      </w:r>
      <w:r w:rsidRPr="007A44F3">
        <w:rPr>
          <w:rFonts w:ascii="Century Gothic" w:hAnsi="Century Gothic" w:cs="Times New Roman"/>
          <w:b w:val="0"/>
          <w:bCs w:val="0"/>
          <w:kern w:val="0"/>
          <w:sz w:val="20"/>
          <w:szCs w:val="20"/>
        </w:rPr>
        <w:t xml:space="preserve">A child can open their own account </w:t>
      </w:r>
      <w:r>
        <w:rPr>
          <w:rFonts w:ascii="Century Gothic" w:hAnsi="Century Gothic" w:cs="Times New Roman"/>
          <w:b w:val="0"/>
          <w:bCs w:val="0"/>
          <w:kern w:val="0"/>
          <w:sz w:val="20"/>
          <w:szCs w:val="20"/>
        </w:rPr>
        <w:t xml:space="preserve">from </w:t>
      </w:r>
      <w:r w:rsidRPr="007A44F3">
        <w:rPr>
          <w:rFonts w:ascii="Century Gothic" w:hAnsi="Century Gothic" w:cs="Times New Roman"/>
          <w:b w:val="0"/>
          <w:bCs w:val="0"/>
          <w:kern w:val="0"/>
          <w:sz w:val="20"/>
          <w:szCs w:val="20"/>
        </w:rPr>
        <w:t xml:space="preserve">age </w:t>
      </w:r>
      <w:r>
        <w:rPr>
          <w:rFonts w:ascii="Century Gothic" w:hAnsi="Century Gothic" w:cs="Times New Roman"/>
          <w:b w:val="0"/>
          <w:bCs w:val="0"/>
          <w:kern w:val="0"/>
          <w:sz w:val="20"/>
          <w:szCs w:val="20"/>
        </w:rPr>
        <w:t>16</w:t>
      </w:r>
      <w:r w:rsidRPr="007A44F3">
        <w:rPr>
          <w:rFonts w:ascii="Century Gothic" w:hAnsi="Century Gothic" w:cs="Times New Roman"/>
          <w:b w:val="0"/>
          <w:bCs w:val="0"/>
          <w:kern w:val="0"/>
          <w:sz w:val="20"/>
          <w:szCs w:val="20"/>
        </w:rPr>
        <w:t xml:space="preserve"> otherwise a person with parental responsibility can do it.</w:t>
      </w:r>
      <w:r>
        <w:rPr>
          <w:rFonts w:ascii="Century Gothic" w:hAnsi="Century Gothic" w:cs="Times New Roman"/>
          <w:b w:val="0"/>
          <w:bCs w:val="0"/>
          <w:kern w:val="0"/>
          <w:sz w:val="20"/>
          <w:szCs w:val="20"/>
        </w:rPr>
        <w:t xml:space="preserve">  </w:t>
      </w:r>
      <w:r w:rsidRPr="00D37FD9">
        <w:rPr>
          <w:rFonts w:ascii="Century Gothic" w:hAnsi="Century Gothic" w:cs="Times New Roman"/>
          <w:b w:val="0"/>
          <w:bCs w:val="0"/>
          <w:kern w:val="0"/>
          <w:sz w:val="20"/>
          <w:szCs w:val="20"/>
        </w:rPr>
        <w:t xml:space="preserve">Each </w:t>
      </w:r>
      <w:r>
        <w:rPr>
          <w:rFonts w:ascii="Century Gothic" w:hAnsi="Century Gothic" w:cs="Times New Roman"/>
          <w:b w:val="0"/>
          <w:bCs w:val="0"/>
          <w:kern w:val="0"/>
          <w:sz w:val="20"/>
          <w:szCs w:val="20"/>
        </w:rPr>
        <w:t>Junior</w:t>
      </w:r>
      <w:r w:rsidRPr="00D37FD9">
        <w:rPr>
          <w:rFonts w:ascii="Century Gothic" w:hAnsi="Century Gothic" w:cs="Times New Roman"/>
          <w:b w:val="0"/>
          <w:bCs w:val="0"/>
          <w:kern w:val="0"/>
          <w:sz w:val="20"/>
          <w:szCs w:val="20"/>
        </w:rPr>
        <w:t xml:space="preserve"> ISA account has a single registered contact, a person with parental responsibility. From age 16 a child can register to be their own contact and this registration cannot normally be reversed. </w:t>
      </w:r>
      <w:r>
        <w:rPr>
          <w:rFonts w:ascii="Century Gothic" w:hAnsi="Century Gothic" w:cs="Times New Roman"/>
          <w:b w:val="0"/>
          <w:bCs w:val="0"/>
          <w:kern w:val="0"/>
          <w:sz w:val="20"/>
          <w:szCs w:val="20"/>
        </w:rPr>
        <w:t xml:space="preserve"> </w:t>
      </w:r>
    </w:p>
    <w:p w14:paraId="2441FFDB" w14:textId="77777777" w:rsidR="00CF72EE" w:rsidRDefault="00CF72EE" w:rsidP="00CF72EE">
      <w:pPr>
        <w:pStyle w:val="Heading1"/>
        <w:spacing w:before="120" w:after="120"/>
        <w:rPr>
          <w:rFonts w:ascii="Century Gothic" w:hAnsi="Century Gothic" w:cs="Times New Roman"/>
          <w:b w:val="0"/>
          <w:bCs w:val="0"/>
          <w:kern w:val="0"/>
          <w:sz w:val="20"/>
          <w:szCs w:val="20"/>
        </w:rPr>
      </w:pPr>
      <w:r w:rsidRPr="00846810">
        <w:rPr>
          <w:rFonts w:ascii="Century Gothic" w:hAnsi="Century Gothic" w:cs="Times New Roman"/>
          <w:b w:val="0"/>
          <w:bCs w:val="0"/>
          <w:kern w:val="0"/>
          <w:sz w:val="20"/>
          <w:szCs w:val="20"/>
        </w:rPr>
        <w:t>The rules for the Junior ISA follow most of the same rules and reporting as the adult ISAs.  However, Junior ISAs have distinct contribution limits and allow for distributions only under specific circumstances.  Additionally, regulations call for Junior ISAs to become adult ISAs on the child’s 18th birthday.</w:t>
      </w:r>
      <w:r>
        <w:rPr>
          <w:rFonts w:ascii="Century Gothic" w:hAnsi="Century Gothic" w:cs="Times New Roman"/>
          <w:b w:val="0"/>
          <w:bCs w:val="0"/>
          <w:kern w:val="0"/>
          <w:sz w:val="20"/>
          <w:szCs w:val="20"/>
        </w:rPr>
        <w:t xml:space="preserve">  </w:t>
      </w:r>
    </w:p>
    <w:p w14:paraId="130138F9" w14:textId="77777777" w:rsidR="00CF72EE" w:rsidRDefault="00CF72EE" w:rsidP="00CF72EE">
      <w:pPr>
        <w:pStyle w:val="Heading1"/>
        <w:spacing w:before="120" w:after="120"/>
        <w:rPr>
          <w:rFonts w:ascii="Century Gothic" w:hAnsi="Century Gothic" w:cs="Times New Roman"/>
          <w:b w:val="0"/>
          <w:bCs w:val="0"/>
          <w:kern w:val="0"/>
          <w:sz w:val="20"/>
          <w:szCs w:val="20"/>
        </w:rPr>
      </w:pPr>
    </w:p>
    <w:p w14:paraId="30F355B7" w14:textId="77777777" w:rsidR="00CF72EE" w:rsidRDefault="00CF72EE" w:rsidP="00CF72EE">
      <w:pPr>
        <w:pStyle w:val="Heading1"/>
        <w:spacing w:before="120" w:after="120"/>
        <w:rPr>
          <w:rFonts w:ascii="Century Gothic" w:hAnsi="Century Gothic" w:cs="Times New Roman"/>
          <w:b w:val="0"/>
          <w:bCs w:val="0"/>
          <w:kern w:val="0"/>
          <w:sz w:val="20"/>
          <w:szCs w:val="20"/>
        </w:rPr>
      </w:pPr>
    </w:p>
    <w:p w14:paraId="022C1C3C" w14:textId="77777777" w:rsidR="00CF72EE" w:rsidRPr="00BA3742" w:rsidRDefault="00CF72EE" w:rsidP="00CF72EE">
      <w:pPr>
        <w:pStyle w:val="Heading1"/>
        <w:spacing w:before="120" w:after="120"/>
        <w:rPr>
          <w:rFonts w:ascii="Century Gothic" w:hAnsi="Century Gothic"/>
        </w:rPr>
      </w:pPr>
      <w:r w:rsidRPr="00BA3742">
        <w:rPr>
          <w:rFonts w:ascii="Century Gothic" w:hAnsi="Century Gothic"/>
        </w:rPr>
        <w:t>Revision History</w:t>
      </w:r>
      <w:bookmarkEnd w:id="0"/>
      <w:r w:rsidRPr="00BA3742">
        <w:rPr>
          <w:rFonts w:ascii="Century Gothic" w:hAnsi="Century Gothic"/>
        </w:rP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707"/>
        <w:gridCol w:w="5768"/>
        <w:gridCol w:w="1869"/>
      </w:tblGrid>
      <w:tr w:rsidR="00CF72EE" w:rsidRPr="000F4F66" w14:paraId="1BE85C55" w14:textId="77777777" w:rsidTr="005F7CD8">
        <w:tc>
          <w:tcPr>
            <w:tcW w:w="1728" w:type="dxa"/>
            <w:shd w:val="solid" w:color="000000" w:fill="FFFFFF"/>
          </w:tcPr>
          <w:p w14:paraId="7143D999" w14:textId="77777777" w:rsidR="00CF72EE" w:rsidRPr="000F4F66" w:rsidRDefault="00CF72EE" w:rsidP="005F7CD8">
            <w:pPr>
              <w:spacing w:before="120" w:after="120"/>
              <w:jc w:val="center"/>
              <w:rPr>
                <w:rFonts w:ascii="Century Gothic" w:hAnsi="Century Gothic"/>
                <w:b/>
                <w:bCs/>
                <w:szCs w:val="20"/>
              </w:rPr>
            </w:pPr>
            <w:r w:rsidRPr="000F4F66">
              <w:rPr>
                <w:rFonts w:ascii="Century Gothic" w:hAnsi="Century Gothic"/>
                <w:b/>
                <w:bCs/>
                <w:szCs w:val="20"/>
              </w:rPr>
              <w:t>Date</w:t>
            </w:r>
          </w:p>
        </w:tc>
        <w:tc>
          <w:tcPr>
            <w:tcW w:w="5940" w:type="dxa"/>
            <w:shd w:val="solid" w:color="000000" w:fill="FFFFFF"/>
          </w:tcPr>
          <w:p w14:paraId="52FFBE71" w14:textId="77777777" w:rsidR="00CF72EE" w:rsidRPr="000F4F66" w:rsidRDefault="00CF72EE" w:rsidP="005F7CD8">
            <w:pPr>
              <w:spacing w:before="120" w:after="120"/>
              <w:jc w:val="center"/>
              <w:rPr>
                <w:rFonts w:ascii="Century Gothic" w:hAnsi="Century Gothic"/>
                <w:b/>
                <w:bCs/>
                <w:szCs w:val="20"/>
              </w:rPr>
            </w:pPr>
            <w:r w:rsidRPr="000F4F66">
              <w:rPr>
                <w:rFonts w:ascii="Century Gothic" w:hAnsi="Century Gothic"/>
                <w:b/>
                <w:bCs/>
                <w:szCs w:val="20"/>
              </w:rPr>
              <w:t>Description</w:t>
            </w:r>
          </w:p>
        </w:tc>
        <w:tc>
          <w:tcPr>
            <w:tcW w:w="1908" w:type="dxa"/>
            <w:shd w:val="solid" w:color="000000" w:fill="FFFFFF"/>
          </w:tcPr>
          <w:p w14:paraId="3839C932" w14:textId="77777777" w:rsidR="00CF72EE" w:rsidRPr="000F4F66" w:rsidRDefault="00CF72EE" w:rsidP="005F7CD8">
            <w:pPr>
              <w:spacing w:before="120" w:after="120"/>
              <w:jc w:val="center"/>
              <w:rPr>
                <w:rFonts w:ascii="Century Gothic" w:hAnsi="Century Gothic"/>
                <w:b/>
                <w:bCs/>
                <w:szCs w:val="20"/>
              </w:rPr>
            </w:pPr>
            <w:r w:rsidRPr="000F4F66">
              <w:rPr>
                <w:rFonts w:ascii="Century Gothic" w:hAnsi="Century Gothic"/>
                <w:b/>
                <w:bCs/>
                <w:szCs w:val="20"/>
              </w:rPr>
              <w:t>Author</w:t>
            </w:r>
          </w:p>
        </w:tc>
      </w:tr>
      <w:tr w:rsidR="00CF72EE" w:rsidRPr="000F4F66" w14:paraId="636C1131" w14:textId="77777777" w:rsidTr="005F7CD8">
        <w:trPr>
          <w:trHeight w:val="85"/>
        </w:trPr>
        <w:tc>
          <w:tcPr>
            <w:tcW w:w="1728" w:type="dxa"/>
            <w:shd w:val="clear" w:color="auto" w:fill="auto"/>
          </w:tcPr>
          <w:p w14:paraId="3C2AE233" w14:textId="77777777" w:rsidR="00CF72EE" w:rsidRPr="000F4F66" w:rsidRDefault="00CF72EE" w:rsidP="005F7CD8">
            <w:pPr>
              <w:spacing w:before="120" w:after="120"/>
              <w:jc w:val="center"/>
              <w:rPr>
                <w:rFonts w:ascii="Century Gothic" w:hAnsi="Century Gothic"/>
                <w:szCs w:val="20"/>
              </w:rPr>
            </w:pPr>
            <w:r>
              <w:rPr>
                <w:rFonts w:ascii="Century Gothic" w:hAnsi="Century Gothic"/>
                <w:szCs w:val="20"/>
              </w:rPr>
              <w:t>11/6</w:t>
            </w:r>
            <w:r w:rsidRPr="000F4F66">
              <w:rPr>
                <w:rFonts w:ascii="Century Gothic" w:hAnsi="Century Gothic"/>
                <w:szCs w:val="20"/>
              </w:rPr>
              <w:t>/201</w:t>
            </w:r>
            <w:r>
              <w:rPr>
                <w:rFonts w:ascii="Century Gothic" w:hAnsi="Century Gothic"/>
                <w:szCs w:val="20"/>
              </w:rPr>
              <w:t>1</w:t>
            </w:r>
          </w:p>
        </w:tc>
        <w:tc>
          <w:tcPr>
            <w:tcW w:w="5940" w:type="dxa"/>
            <w:shd w:val="clear" w:color="auto" w:fill="auto"/>
          </w:tcPr>
          <w:p w14:paraId="543496A4" w14:textId="77777777" w:rsidR="00CF72EE" w:rsidRPr="000F4F66" w:rsidRDefault="00CF72EE" w:rsidP="005F7CD8">
            <w:pPr>
              <w:spacing w:before="120" w:after="120"/>
              <w:rPr>
                <w:rFonts w:ascii="Century Gothic" w:hAnsi="Century Gothic"/>
                <w:szCs w:val="20"/>
              </w:rPr>
            </w:pPr>
            <w:r w:rsidRPr="000F4F66">
              <w:rPr>
                <w:rFonts w:ascii="Century Gothic" w:hAnsi="Century Gothic"/>
                <w:szCs w:val="20"/>
              </w:rPr>
              <w:t>Creation of document</w:t>
            </w:r>
          </w:p>
        </w:tc>
        <w:tc>
          <w:tcPr>
            <w:tcW w:w="1908" w:type="dxa"/>
            <w:shd w:val="clear" w:color="auto" w:fill="auto"/>
          </w:tcPr>
          <w:p w14:paraId="008402CD" w14:textId="075333F5" w:rsidR="00CF72EE" w:rsidRPr="000F4F66" w:rsidRDefault="00CF72EE" w:rsidP="005F7CD8">
            <w:pPr>
              <w:spacing w:before="120" w:after="120"/>
              <w:rPr>
                <w:rFonts w:ascii="Century Gothic" w:hAnsi="Century Gothic"/>
                <w:szCs w:val="20"/>
              </w:rPr>
            </w:pPr>
          </w:p>
        </w:tc>
      </w:tr>
      <w:tr w:rsidR="00CF72EE" w:rsidRPr="000F4F66" w14:paraId="0AD04F26" w14:textId="77777777" w:rsidTr="005F7CD8">
        <w:trPr>
          <w:trHeight w:val="85"/>
        </w:trPr>
        <w:tc>
          <w:tcPr>
            <w:tcW w:w="1728" w:type="dxa"/>
            <w:shd w:val="clear" w:color="auto" w:fill="auto"/>
          </w:tcPr>
          <w:p w14:paraId="43DC70C6" w14:textId="77777777" w:rsidR="00CF72EE" w:rsidRDefault="00CF72EE" w:rsidP="005F7CD8">
            <w:pPr>
              <w:spacing w:before="120" w:after="120"/>
              <w:jc w:val="center"/>
              <w:rPr>
                <w:rFonts w:ascii="Century Gothic" w:hAnsi="Century Gothic"/>
                <w:szCs w:val="20"/>
              </w:rPr>
            </w:pPr>
          </w:p>
        </w:tc>
        <w:tc>
          <w:tcPr>
            <w:tcW w:w="5940" w:type="dxa"/>
            <w:shd w:val="clear" w:color="auto" w:fill="auto"/>
          </w:tcPr>
          <w:p w14:paraId="7ADF376A" w14:textId="77777777" w:rsidR="00CF72EE" w:rsidRPr="000F4F66" w:rsidRDefault="00CF72EE" w:rsidP="005F7CD8">
            <w:pPr>
              <w:spacing w:before="120" w:after="120"/>
              <w:rPr>
                <w:rFonts w:ascii="Century Gothic" w:hAnsi="Century Gothic"/>
                <w:szCs w:val="20"/>
              </w:rPr>
            </w:pPr>
          </w:p>
        </w:tc>
        <w:tc>
          <w:tcPr>
            <w:tcW w:w="1908" w:type="dxa"/>
            <w:shd w:val="clear" w:color="auto" w:fill="auto"/>
          </w:tcPr>
          <w:p w14:paraId="605DD564" w14:textId="77777777" w:rsidR="00CF72EE" w:rsidRDefault="00CF72EE" w:rsidP="005F7CD8">
            <w:pPr>
              <w:spacing w:before="120" w:after="120"/>
              <w:rPr>
                <w:rFonts w:ascii="Century Gothic" w:hAnsi="Century Gothic"/>
                <w:szCs w:val="20"/>
              </w:rPr>
            </w:pPr>
          </w:p>
        </w:tc>
      </w:tr>
    </w:tbl>
    <w:p w14:paraId="747914E8" w14:textId="77777777" w:rsidR="00CF72EE" w:rsidRPr="00BA3742" w:rsidRDefault="00CF72EE" w:rsidP="00CF72EE">
      <w:pPr>
        <w:spacing w:before="120" w:after="120"/>
        <w:rPr>
          <w:rFonts w:ascii="Century Gothic" w:hAnsi="Century Gothic"/>
        </w:rPr>
      </w:pPr>
    </w:p>
    <w:p w14:paraId="0673BBC2" w14:textId="77777777" w:rsidR="00CF72EE" w:rsidRPr="00846810" w:rsidRDefault="00CF72EE" w:rsidP="00CF72EE">
      <w:pPr>
        <w:pStyle w:val="Heading1"/>
        <w:spacing w:before="120" w:after="120"/>
        <w:rPr>
          <w:rFonts w:ascii="Century Gothic" w:hAnsi="Century Gothic" w:cs="Times New Roman"/>
          <w:b w:val="0"/>
          <w:bCs w:val="0"/>
          <w:kern w:val="0"/>
          <w:sz w:val="20"/>
          <w:szCs w:val="20"/>
        </w:rPr>
      </w:pPr>
      <w:bookmarkStart w:id="1" w:name="_Toc208220959"/>
      <w:r w:rsidRPr="00846810">
        <w:rPr>
          <w:rFonts w:ascii="Century Gothic" w:hAnsi="Century Gothic" w:cs="Times New Roman"/>
          <w:b w:val="0"/>
          <w:bCs w:val="0"/>
          <w:kern w:val="0"/>
          <w:sz w:val="20"/>
          <w:szCs w:val="20"/>
        </w:rPr>
        <w:tab/>
      </w:r>
    </w:p>
    <w:p w14:paraId="20F6A7C4" w14:textId="77777777" w:rsidR="00CF72EE" w:rsidRPr="00BA3742" w:rsidRDefault="00CF72EE" w:rsidP="00CF72EE">
      <w:pPr>
        <w:pStyle w:val="Heading1"/>
        <w:spacing w:before="120" w:after="120"/>
        <w:rPr>
          <w:rFonts w:ascii="Century Gothic" w:hAnsi="Century Gothic"/>
        </w:rPr>
      </w:pPr>
      <w:r w:rsidRPr="00BA3742">
        <w:rPr>
          <w:rFonts w:ascii="Century Gothic" w:hAnsi="Century Gothic"/>
        </w:rPr>
        <w:t>Assumptions</w:t>
      </w:r>
      <w:bookmarkEnd w:id="1"/>
      <w:r>
        <w:rPr>
          <w:rFonts w:ascii="Century Gothic" w:hAnsi="Century Gothic"/>
        </w:rPr>
        <w:t>/Key Decisions</w:t>
      </w:r>
    </w:p>
    <w:p w14:paraId="318EDD13" w14:textId="77777777" w:rsidR="00CF72EE" w:rsidRDefault="00CF72EE" w:rsidP="00CF72EE">
      <w:pPr>
        <w:numPr>
          <w:ilvl w:val="0"/>
          <w:numId w:val="7"/>
        </w:numPr>
        <w:spacing w:before="120" w:after="120"/>
        <w:rPr>
          <w:rFonts w:ascii="Century Gothic" w:hAnsi="Century Gothic"/>
          <w:szCs w:val="20"/>
        </w:rPr>
      </w:pPr>
      <w:bookmarkStart w:id="2" w:name="_Toc208220960"/>
      <w:r w:rsidRPr="00846810">
        <w:rPr>
          <w:rFonts w:ascii="Century Gothic" w:hAnsi="Century Gothic"/>
          <w:szCs w:val="20"/>
        </w:rPr>
        <w:t>Account Strategy will NOT automatically change when a Junior ISA is converted to an adult ISA account.  Any strategy change will be a manual process.</w:t>
      </w:r>
    </w:p>
    <w:p w14:paraId="50C3F7B2" w14:textId="77777777" w:rsidR="00CF72EE" w:rsidRPr="00D6244E" w:rsidRDefault="00CF72EE" w:rsidP="00CF72EE">
      <w:pPr>
        <w:numPr>
          <w:ilvl w:val="0"/>
          <w:numId w:val="7"/>
        </w:numPr>
        <w:spacing w:before="120" w:after="120"/>
        <w:rPr>
          <w:rFonts w:ascii="Century Gothic" w:hAnsi="Century Gothic"/>
          <w:szCs w:val="20"/>
        </w:rPr>
      </w:pPr>
      <w:r w:rsidRPr="00D6244E">
        <w:rPr>
          <w:rFonts w:ascii="Century Gothic" w:hAnsi="Century Gothic"/>
        </w:rPr>
        <w:t>Account specific investment compliance rules will NOT automatically change when a Junior ISA is converted to an adult ISA account.   Any account specific investment compliance rule change will be a manual process.  However, PO/Firm rules which are specific to account type will look to the account type. as of trade date.</w:t>
      </w:r>
      <w:r w:rsidRPr="00D6244E">
        <w:rPr>
          <w:rFonts w:ascii="Century Gothic" w:hAnsi="Century Gothic"/>
          <w:b/>
          <w:bCs/>
        </w:rPr>
        <w:t xml:space="preserve">  </w:t>
      </w:r>
      <w:r w:rsidRPr="00D6244E">
        <w:rPr>
          <w:rFonts w:ascii="Century Gothic" w:hAnsi="Century Gothic"/>
        </w:rPr>
        <w:t xml:space="preserve">Backdated transactions will NOT invoke prior account type investment compliance rules.  </w:t>
      </w:r>
    </w:p>
    <w:p w14:paraId="090240AF" w14:textId="77777777" w:rsidR="00CF72EE" w:rsidRPr="00846810" w:rsidRDefault="00CF72EE" w:rsidP="00CF72EE">
      <w:pPr>
        <w:numPr>
          <w:ilvl w:val="0"/>
          <w:numId w:val="7"/>
        </w:numPr>
        <w:spacing w:before="120" w:after="120"/>
        <w:rPr>
          <w:rFonts w:ascii="Century Gothic" w:hAnsi="Century Gothic"/>
          <w:szCs w:val="20"/>
        </w:rPr>
      </w:pPr>
      <w:r w:rsidRPr="00846810">
        <w:rPr>
          <w:rFonts w:ascii="Century Gothic" w:hAnsi="Century Gothic"/>
        </w:rPr>
        <w:t xml:space="preserve">The process of associating Periodic and Real Time fee packages </w:t>
      </w:r>
      <w:r>
        <w:rPr>
          <w:rFonts w:ascii="Century Gothic" w:hAnsi="Century Gothic"/>
        </w:rPr>
        <w:t xml:space="preserve">to </w:t>
      </w:r>
      <w:r w:rsidRPr="00846810">
        <w:rPr>
          <w:rFonts w:ascii="Century Gothic" w:hAnsi="Century Gothic"/>
        </w:rPr>
        <w:t xml:space="preserve">an account will NOT change with the introduction of Junior ISAs.  It will be a manual process to make any changes to an account’s fee packages after an account has been converted.  If necessary ad hoc fees can be taken to collect fees applicable prior and post account type conversion. </w:t>
      </w:r>
    </w:p>
    <w:p w14:paraId="367824F5" w14:textId="77777777" w:rsidR="00CF72EE" w:rsidRDefault="00CF72EE" w:rsidP="00CF72EE">
      <w:pPr>
        <w:numPr>
          <w:ilvl w:val="0"/>
          <w:numId w:val="7"/>
        </w:numPr>
        <w:spacing w:before="120" w:after="120"/>
        <w:rPr>
          <w:rFonts w:ascii="Century Gothic" w:hAnsi="Century Gothic"/>
          <w:szCs w:val="20"/>
        </w:rPr>
      </w:pPr>
      <w:r w:rsidRPr="00846810">
        <w:rPr>
          <w:rFonts w:ascii="Century Gothic" w:hAnsi="Century Gothic"/>
          <w:szCs w:val="20"/>
        </w:rPr>
        <w:t>Groupings for Fees, Statements, etc. do not change when an account is converted from a Junior ISA to an adult ISA.   Any grouping change post conversion is a manual process.</w:t>
      </w:r>
    </w:p>
    <w:p w14:paraId="3A2EAB5D" w14:textId="77777777" w:rsidR="00CF72EE" w:rsidRDefault="00CF72EE" w:rsidP="00CF72EE">
      <w:pPr>
        <w:numPr>
          <w:ilvl w:val="0"/>
          <w:numId w:val="7"/>
        </w:numPr>
        <w:spacing w:before="120" w:after="120"/>
        <w:rPr>
          <w:rFonts w:ascii="Century Gothic" w:hAnsi="Century Gothic"/>
          <w:szCs w:val="20"/>
        </w:rPr>
      </w:pPr>
      <w:r w:rsidRPr="00846810">
        <w:rPr>
          <w:rFonts w:ascii="Century Gothic" w:hAnsi="Century Gothic"/>
          <w:szCs w:val="20"/>
        </w:rPr>
        <w:lastRenderedPageBreak/>
        <w:t>Client communications do not change when an account is converted from a Junior ISA to an adult ISA.  Any change post conversion is a manual process.</w:t>
      </w:r>
    </w:p>
    <w:p w14:paraId="2B70D8E4" w14:textId="77777777" w:rsidR="00CF72EE" w:rsidRDefault="00CF72EE" w:rsidP="00CF72EE">
      <w:pPr>
        <w:numPr>
          <w:ilvl w:val="0"/>
          <w:numId w:val="7"/>
        </w:numPr>
        <w:spacing w:before="120" w:after="120"/>
        <w:rPr>
          <w:rFonts w:ascii="Century Gothic" w:hAnsi="Century Gothic"/>
          <w:szCs w:val="20"/>
        </w:rPr>
      </w:pPr>
      <w:r w:rsidRPr="00846810">
        <w:rPr>
          <w:rFonts w:ascii="Century Gothic" w:hAnsi="Century Gothic"/>
          <w:szCs w:val="20"/>
        </w:rPr>
        <w:t>Since account owner birth date can change after the creation of the client and account, reporting is being enhanced to highlight any age exceptions to the age rules for Junior ISA and ISA.  If an account type change is required, this is a manual process which requires the correct account type to be opened and the erroneous account type to be closed using the current GWP account open, asset transfer, if necessary, and account close procedures.</w:t>
      </w:r>
    </w:p>
    <w:p w14:paraId="233D6EF5" w14:textId="77777777" w:rsidR="00CF72EE" w:rsidRDefault="00CF72EE" w:rsidP="00CF72EE">
      <w:pPr>
        <w:numPr>
          <w:ilvl w:val="0"/>
          <w:numId w:val="7"/>
        </w:numPr>
        <w:spacing w:before="120" w:after="120"/>
        <w:rPr>
          <w:rFonts w:ascii="Century Gothic" w:hAnsi="Century Gothic"/>
          <w:szCs w:val="20"/>
        </w:rPr>
      </w:pPr>
      <w:r w:rsidRPr="00D33437">
        <w:rPr>
          <w:rFonts w:ascii="Century Gothic" w:hAnsi="Century Gothic"/>
          <w:szCs w:val="20"/>
        </w:rPr>
        <w:t xml:space="preserve">It is a manual process to insure compliance to HMRC regulations for cash disbursements due to death/illness of owner and for free movements due to full plan manager transfer. </w:t>
      </w:r>
    </w:p>
    <w:p w14:paraId="06D67577" w14:textId="77777777" w:rsidR="00CF72EE" w:rsidRPr="00D33437" w:rsidRDefault="00CF72EE" w:rsidP="00CF72EE">
      <w:pPr>
        <w:numPr>
          <w:ilvl w:val="0"/>
          <w:numId w:val="7"/>
        </w:numPr>
        <w:spacing w:before="120" w:after="120"/>
        <w:rPr>
          <w:rFonts w:ascii="Century Gothic" w:hAnsi="Century Gothic"/>
          <w:szCs w:val="20"/>
        </w:rPr>
      </w:pPr>
      <w:r w:rsidRPr="00D33437">
        <w:rPr>
          <w:rFonts w:ascii="Century Gothic" w:hAnsi="Century Gothic"/>
          <w:szCs w:val="20"/>
        </w:rPr>
        <w:t>Statements:  The logic for choosing the latest account name on statements does NOT change with this FRAS.  Additionally, there is no change in the display of free form transactions on statements.  They are either displayed or not depending upon the specific statement design.</w:t>
      </w:r>
    </w:p>
    <w:bookmarkEnd w:id="2"/>
    <w:p w14:paraId="6C64FC24" w14:textId="77777777" w:rsidR="00CF72EE" w:rsidRPr="00BA3742" w:rsidRDefault="00CF72EE" w:rsidP="00D02112">
      <w:pPr>
        <w:spacing w:before="120" w:after="120"/>
        <w:rPr>
          <w:rFonts w:ascii="Century Gothic" w:hAnsi="Century Gothic"/>
          <w:sz w:val="18"/>
          <w:szCs w:val="18"/>
        </w:rPr>
      </w:pPr>
    </w:p>
    <w:p w14:paraId="7929EDD5" w14:textId="77777777" w:rsidR="00CF72EE" w:rsidRPr="00BA3742" w:rsidRDefault="00CF72EE" w:rsidP="00CF72EE">
      <w:pPr>
        <w:pStyle w:val="Heading1"/>
        <w:spacing w:before="120" w:after="120"/>
        <w:rPr>
          <w:rFonts w:ascii="Century Gothic" w:hAnsi="Century Gothic"/>
        </w:rPr>
      </w:pPr>
      <w:r>
        <w:rPr>
          <w:rFonts w:ascii="Century Gothic" w:hAnsi="Century Gothic"/>
        </w:rPr>
        <w:t>Requirement</w:t>
      </w:r>
      <w:r w:rsidRPr="00BA3742">
        <w:rPr>
          <w:rFonts w:ascii="Century Gothic" w:hAnsi="Century Gothic"/>
        </w:rPr>
        <w:t>s</w:t>
      </w:r>
    </w:p>
    <w:p w14:paraId="5895EEDA" w14:textId="77777777" w:rsidR="00CF72EE" w:rsidRPr="00366AD4" w:rsidRDefault="00CF72EE" w:rsidP="00CF72EE">
      <w:pPr>
        <w:numPr>
          <w:ilvl w:val="0"/>
          <w:numId w:val="2"/>
        </w:numPr>
        <w:spacing w:after="120"/>
        <w:rPr>
          <w:rFonts w:ascii="Century Gothic" w:hAnsi="Century Gothic" w:cs="Arial"/>
        </w:rPr>
      </w:pPr>
      <w:r w:rsidRPr="00366AD4">
        <w:rPr>
          <w:rFonts w:ascii="Century Gothic" w:hAnsi="Century Gothic" w:cs="Arial"/>
        </w:rPr>
        <w:t>Enrollment Impacts</w:t>
      </w:r>
    </w:p>
    <w:p w14:paraId="0AF8FF62" w14:textId="77777777" w:rsidR="00CF72EE" w:rsidRPr="00CF72EE" w:rsidRDefault="00CF72EE" w:rsidP="00CF72EE">
      <w:pPr>
        <w:numPr>
          <w:ilvl w:val="1"/>
          <w:numId w:val="2"/>
        </w:numPr>
        <w:spacing w:before="120" w:after="120"/>
        <w:rPr>
          <w:rFonts w:ascii="Century Gothic" w:hAnsi="Century Gothic"/>
          <w:b/>
          <w:szCs w:val="20"/>
        </w:rPr>
      </w:pPr>
      <w:r w:rsidRPr="00CF72EE">
        <w:rPr>
          <w:rFonts w:ascii="Century Gothic" w:hAnsi="Century Gothic"/>
          <w:b/>
          <w:szCs w:val="20"/>
        </w:rPr>
        <w:t>Add New Account Type</w:t>
      </w:r>
    </w:p>
    <w:p w14:paraId="0D6A1272" w14:textId="77777777" w:rsidR="00CF72EE" w:rsidRPr="00366AD4" w:rsidRDefault="00CF72EE" w:rsidP="00CF72EE">
      <w:pPr>
        <w:spacing w:before="120" w:after="120"/>
        <w:ind w:left="720" w:firstLine="720"/>
        <w:rPr>
          <w:rFonts w:ascii="Century Gothic" w:hAnsi="Century Gothic"/>
          <w:szCs w:val="20"/>
        </w:rPr>
      </w:pPr>
      <w:r w:rsidRPr="00366AD4">
        <w:rPr>
          <w:rFonts w:ascii="Century Gothic" w:hAnsi="Century Gothic"/>
          <w:szCs w:val="20"/>
        </w:rPr>
        <w:t>For UK firms, display a new account type of “</w:t>
      </w:r>
      <w:r w:rsidRPr="00366AD4">
        <w:rPr>
          <w:rFonts w:ascii="Century Gothic" w:hAnsi="Century Gothic"/>
        </w:rPr>
        <w:t>Stocks and Shares Junior ISA”</w:t>
      </w:r>
    </w:p>
    <w:p w14:paraId="39524999" w14:textId="77777777" w:rsidR="00CF72EE" w:rsidRPr="00CF72EE" w:rsidRDefault="00CF72EE" w:rsidP="00CF72EE">
      <w:pPr>
        <w:numPr>
          <w:ilvl w:val="1"/>
          <w:numId w:val="2"/>
        </w:numPr>
        <w:spacing w:before="120" w:after="120"/>
        <w:rPr>
          <w:rFonts w:ascii="Century Gothic" w:hAnsi="Century Gothic"/>
          <w:b/>
          <w:szCs w:val="20"/>
        </w:rPr>
      </w:pPr>
      <w:r w:rsidRPr="00CF72EE">
        <w:rPr>
          <w:rFonts w:ascii="Century Gothic" w:hAnsi="Century Gothic"/>
          <w:b/>
          <w:szCs w:val="20"/>
        </w:rPr>
        <w:t>Default Account Registration Name</w:t>
      </w:r>
    </w:p>
    <w:p w14:paraId="24DE568A" w14:textId="7CDFBE1A" w:rsidR="00CF72EE" w:rsidRPr="00366AD4" w:rsidRDefault="00CF72EE" w:rsidP="00CF72EE">
      <w:pPr>
        <w:spacing w:after="120"/>
        <w:ind w:left="1440"/>
        <w:rPr>
          <w:rFonts w:ascii="Century Gothic" w:hAnsi="Century Gothic"/>
        </w:rPr>
      </w:pPr>
      <w:r w:rsidRPr="00366AD4">
        <w:rPr>
          <w:rFonts w:ascii="Century Gothic" w:hAnsi="Century Gothic"/>
          <w:szCs w:val="20"/>
        </w:rPr>
        <w:t>For account type</w:t>
      </w:r>
      <w:proofErr w:type="gramStart"/>
      <w:r w:rsidRPr="00366AD4">
        <w:rPr>
          <w:rFonts w:ascii="Century Gothic" w:hAnsi="Century Gothic"/>
          <w:szCs w:val="20"/>
        </w:rPr>
        <w:t>=“</w:t>
      </w:r>
      <w:proofErr w:type="gramEnd"/>
      <w:r w:rsidRPr="00366AD4">
        <w:rPr>
          <w:rFonts w:ascii="Century Gothic" w:hAnsi="Century Gothic"/>
        </w:rPr>
        <w:t xml:space="preserve">Stocks and Shares Junior ISA”, default the account registration name using the following format: </w:t>
      </w:r>
      <w:r w:rsidR="001C4105">
        <w:rPr>
          <w:rFonts w:ascii="Century Gothic" w:hAnsi="Century Gothic"/>
        </w:rPr>
        <w:t>&lt;</w:t>
      </w:r>
      <w:r w:rsidRPr="00366AD4">
        <w:rPr>
          <w:rFonts w:ascii="Century Gothic" w:hAnsi="Century Gothic"/>
        </w:rPr>
        <w:t>Primary Owner First Name Middle Name Last Name</w:t>
      </w:r>
      <w:r w:rsidR="001C4105">
        <w:rPr>
          <w:rFonts w:ascii="Century Gothic" w:hAnsi="Century Gothic"/>
        </w:rPr>
        <w:t>&gt;</w:t>
      </w:r>
      <w:r w:rsidRPr="00366AD4">
        <w:rPr>
          <w:rFonts w:ascii="Century Gothic" w:hAnsi="Century Gothic"/>
        </w:rPr>
        <w:t xml:space="preserve"> Stocks and Shares Junior ISA.</w:t>
      </w:r>
    </w:p>
    <w:p w14:paraId="00AAAB74" w14:textId="77777777" w:rsidR="00CF72EE" w:rsidRPr="00366AD4" w:rsidRDefault="00CF72EE" w:rsidP="00CF72EE">
      <w:pPr>
        <w:spacing w:after="120"/>
        <w:ind w:left="720" w:firstLine="720"/>
        <w:rPr>
          <w:rFonts w:ascii="Century Gothic" w:hAnsi="Century Gothic"/>
        </w:rPr>
      </w:pPr>
      <w:r w:rsidRPr="00366AD4">
        <w:rPr>
          <w:rFonts w:ascii="Century Gothic" w:hAnsi="Century Gothic"/>
        </w:rPr>
        <w:t>Example: John Alfred Smith Stocks and Shares Junior ISA</w:t>
      </w:r>
    </w:p>
    <w:p w14:paraId="2E8020E9" w14:textId="77777777" w:rsidR="00CF72EE" w:rsidRPr="00CF72EE" w:rsidRDefault="00CF72EE" w:rsidP="00CF72EE">
      <w:pPr>
        <w:numPr>
          <w:ilvl w:val="1"/>
          <w:numId w:val="2"/>
        </w:numPr>
        <w:spacing w:before="120" w:after="120"/>
        <w:rPr>
          <w:rFonts w:ascii="Century Gothic" w:hAnsi="Century Gothic"/>
          <w:b/>
          <w:szCs w:val="20"/>
        </w:rPr>
      </w:pPr>
      <w:r w:rsidRPr="00CF72EE">
        <w:rPr>
          <w:rFonts w:ascii="Century Gothic" w:hAnsi="Century Gothic"/>
          <w:b/>
          <w:szCs w:val="20"/>
        </w:rPr>
        <w:t>Restrict Account Type</w:t>
      </w:r>
    </w:p>
    <w:p w14:paraId="047B6517" w14:textId="77777777" w:rsidR="00CF72EE" w:rsidRPr="00366AD4" w:rsidRDefault="00CF72EE" w:rsidP="00CF72EE">
      <w:pPr>
        <w:spacing w:before="120" w:after="120"/>
        <w:ind w:left="1440"/>
        <w:rPr>
          <w:rFonts w:ascii="Century Gothic" w:hAnsi="Century Gothic"/>
        </w:rPr>
      </w:pPr>
      <w:r>
        <w:rPr>
          <w:rFonts w:ascii="Century Gothic" w:hAnsi="Century Gothic"/>
          <w:szCs w:val="20"/>
        </w:rPr>
        <w:t xml:space="preserve">Only display the option of </w:t>
      </w:r>
      <w:r w:rsidRPr="00366AD4">
        <w:rPr>
          <w:rFonts w:ascii="Century Gothic" w:hAnsi="Century Gothic"/>
          <w:szCs w:val="20"/>
        </w:rPr>
        <w:t>account type</w:t>
      </w:r>
      <w:r>
        <w:rPr>
          <w:rFonts w:ascii="Century Gothic" w:hAnsi="Century Gothic"/>
          <w:szCs w:val="20"/>
        </w:rPr>
        <w:t xml:space="preserve"> of </w:t>
      </w:r>
      <w:r w:rsidRPr="00366AD4">
        <w:rPr>
          <w:rFonts w:ascii="Century Gothic" w:hAnsi="Century Gothic"/>
          <w:szCs w:val="20"/>
        </w:rPr>
        <w:t>“</w:t>
      </w:r>
      <w:r w:rsidRPr="00366AD4">
        <w:rPr>
          <w:rFonts w:ascii="Century Gothic" w:hAnsi="Century Gothic"/>
        </w:rPr>
        <w:t>Stocks and Shares Junior ISA</w:t>
      </w:r>
      <w:r>
        <w:rPr>
          <w:rFonts w:ascii="Century Gothic" w:hAnsi="Century Gothic"/>
        </w:rPr>
        <w:t xml:space="preserve">” if </w:t>
      </w:r>
      <w:r w:rsidRPr="00366AD4">
        <w:rPr>
          <w:rFonts w:ascii="Century Gothic" w:hAnsi="Century Gothic"/>
        </w:rPr>
        <w:t>the client type</w:t>
      </w:r>
      <w:r>
        <w:rPr>
          <w:rFonts w:ascii="Century Gothic" w:hAnsi="Century Gothic"/>
        </w:rPr>
        <w:t xml:space="preserve"> of the primary owner is </w:t>
      </w:r>
      <w:r w:rsidRPr="00366AD4">
        <w:rPr>
          <w:rFonts w:ascii="Century Gothic" w:hAnsi="Century Gothic"/>
        </w:rPr>
        <w:t>‘Individual’.</w:t>
      </w:r>
    </w:p>
    <w:p w14:paraId="2EE611DD" w14:textId="77777777" w:rsidR="00CF72EE" w:rsidRPr="00CF72EE" w:rsidRDefault="00CF72EE" w:rsidP="00CF72EE">
      <w:pPr>
        <w:numPr>
          <w:ilvl w:val="1"/>
          <w:numId w:val="2"/>
        </w:numPr>
        <w:spacing w:before="120" w:after="120"/>
        <w:rPr>
          <w:rFonts w:ascii="Century Gothic" w:hAnsi="Century Gothic"/>
          <w:b/>
          <w:szCs w:val="20"/>
        </w:rPr>
      </w:pPr>
      <w:r w:rsidRPr="00CF72EE">
        <w:rPr>
          <w:rFonts w:ascii="Century Gothic" w:hAnsi="Century Gothic"/>
          <w:b/>
          <w:szCs w:val="20"/>
        </w:rPr>
        <w:t>Restrict Ownership Type</w:t>
      </w:r>
    </w:p>
    <w:p w14:paraId="4B480DF9" w14:textId="77777777" w:rsidR="00CF72EE" w:rsidRPr="00366AD4" w:rsidRDefault="00CF72EE" w:rsidP="00CF72EE">
      <w:pPr>
        <w:spacing w:before="120" w:after="120"/>
        <w:ind w:left="1440"/>
        <w:rPr>
          <w:rFonts w:ascii="Century Gothic" w:hAnsi="Century Gothic"/>
          <w:szCs w:val="20"/>
        </w:rPr>
      </w:pPr>
      <w:r w:rsidRPr="00366AD4">
        <w:rPr>
          <w:rFonts w:ascii="Century Gothic" w:hAnsi="Century Gothic"/>
          <w:szCs w:val="20"/>
        </w:rPr>
        <w:t>For account type=“</w:t>
      </w:r>
      <w:r w:rsidRPr="00366AD4">
        <w:rPr>
          <w:rFonts w:ascii="Century Gothic" w:hAnsi="Century Gothic"/>
        </w:rPr>
        <w:t>Stocks and Shares Junior ISA”, restrict the ownership type to ‘Individual’</w:t>
      </w:r>
    </w:p>
    <w:p w14:paraId="264CD643" w14:textId="77777777" w:rsidR="00CF72EE" w:rsidRDefault="00CF72EE" w:rsidP="00CF72EE">
      <w:pPr>
        <w:spacing w:before="120" w:after="120"/>
        <w:ind w:left="1440"/>
        <w:rPr>
          <w:rFonts w:ascii="Century Gothic" w:hAnsi="Century Gothic"/>
          <w:szCs w:val="20"/>
        </w:rPr>
      </w:pPr>
    </w:p>
    <w:p w14:paraId="6CC482C8" w14:textId="77777777" w:rsidR="00CF72EE" w:rsidRPr="00CF72EE" w:rsidRDefault="00CF72EE" w:rsidP="00CF72EE">
      <w:pPr>
        <w:numPr>
          <w:ilvl w:val="1"/>
          <w:numId w:val="2"/>
        </w:numPr>
        <w:spacing w:before="120" w:after="120"/>
        <w:rPr>
          <w:rFonts w:ascii="Century Gothic" w:hAnsi="Century Gothic"/>
          <w:b/>
          <w:szCs w:val="20"/>
        </w:rPr>
      </w:pPr>
      <w:r w:rsidRPr="00CF72EE">
        <w:rPr>
          <w:rFonts w:ascii="Century Gothic" w:hAnsi="Century Gothic"/>
          <w:b/>
          <w:szCs w:val="20"/>
        </w:rPr>
        <w:t>Set Platform Default</w:t>
      </w:r>
    </w:p>
    <w:p w14:paraId="49DA2692" w14:textId="77777777" w:rsidR="00CF72EE" w:rsidRDefault="00CF72EE" w:rsidP="00CF72EE">
      <w:pPr>
        <w:spacing w:before="120" w:after="120"/>
        <w:ind w:left="1440"/>
        <w:rPr>
          <w:rFonts w:ascii="Century Gothic" w:hAnsi="Century Gothic"/>
        </w:rPr>
      </w:pPr>
      <w:r w:rsidRPr="00366AD4">
        <w:rPr>
          <w:rFonts w:ascii="Century Gothic" w:hAnsi="Century Gothic"/>
          <w:szCs w:val="20"/>
        </w:rPr>
        <w:t xml:space="preserve">Apart from the usual platform default being set for every account, </w:t>
      </w:r>
      <w:r>
        <w:rPr>
          <w:rFonts w:ascii="Century Gothic" w:hAnsi="Century Gothic"/>
          <w:szCs w:val="20"/>
        </w:rPr>
        <w:t>forest the following platform defaults for</w:t>
      </w:r>
      <w:r w:rsidRPr="00366AD4">
        <w:rPr>
          <w:rFonts w:ascii="Century Gothic" w:hAnsi="Century Gothic"/>
          <w:szCs w:val="20"/>
        </w:rPr>
        <w:t xml:space="preserve"> account type=“</w:t>
      </w:r>
      <w:r w:rsidRPr="00366AD4">
        <w:rPr>
          <w:rFonts w:ascii="Century Gothic" w:hAnsi="Century Gothic"/>
        </w:rPr>
        <w:t>Stocks and Shares Junior ISA”.</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5"/>
        <w:gridCol w:w="3915"/>
      </w:tblGrid>
      <w:tr w:rsidR="00CF72EE" w14:paraId="4BE32289" w14:textId="77777777" w:rsidTr="005F7CD8">
        <w:tc>
          <w:tcPr>
            <w:tcW w:w="4788" w:type="dxa"/>
            <w:shd w:val="clear" w:color="auto" w:fill="000000"/>
          </w:tcPr>
          <w:p w14:paraId="510688E1" w14:textId="77777777" w:rsidR="00CF72EE" w:rsidRPr="005A5542" w:rsidRDefault="00CF72EE" w:rsidP="005F7CD8">
            <w:pPr>
              <w:spacing w:before="120" w:after="120"/>
              <w:jc w:val="center"/>
              <w:rPr>
                <w:rFonts w:ascii="Century Gothic" w:hAnsi="Century Gothic"/>
                <w:b/>
                <w:color w:val="FFFFFF"/>
                <w:szCs w:val="20"/>
              </w:rPr>
            </w:pPr>
            <w:r w:rsidRPr="005A5542">
              <w:rPr>
                <w:rFonts w:ascii="Century Gothic" w:hAnsi="Century Gothic"/>
                <w:b/>
                <w:color w:val="FFFFFF"/>
                <w:szCs w:val="20"/>
              </w:rPr>
              <w:t>Field Name</w:t>
            </w:r>
          </w:p>
        </w:tc>
        <w:tc>
          <w:tcPr>
            <w:tcW w:w="4788" w:type="dxa"/>
            <w:shd w:val="clear" w:color="auto" w:fill="000000"/>
          </w:tcPr>
          <w:p w14:paraId="02BDF16A" w14:textId="77777777" w:rsidR="00CF72EE" w:rsidRPr="005A5542" w:rsidRDefault="00CF72EE" w:rsidP="005F7CD8">
            <w:pPr>
              <w:spacing w:before="120" w:after="120"/>
              <w:jc w:val="center"/>
              <w:rPr>
                <w:rFonts w:ascii="Century Gothic" w:hAnsi="Century Gothic"/>
                <w:b/>
                <w:color w:val="FFFFFF"/>
                <w:szCs w:val="20"/>
              </w:rPr>
            </w:pPr>
            <w:r w:rsidRPr="005A5542">
              <w:rPr>
                <w:rFonts w:ascii="Century Gothic" w:hAnsi="Century Gothic"/>
                <w:b/>
                <w:color w:val="FFFFFF"/>
                <w:szCs w:val="20"/>
              </w:rPr>
              <w:t>Default</w:t>
            </w:r>
          </w:p>
        </w:tc>
      </w:tr>
      <w:tr w:rsidR="00CF72EE" w14:paraId="5A4E619A" w14:textId="77777777" w:rsidTr="005F7CD8">
        <w:tc>
          <w:tcPr>
            <w:tcW w:w="4788" w:type="dxa"/>
          </w:tcPr>
          <w:p w14:paraId="63B0AFFF" w14:textId="77777777" w:rsidR="00CF72EE" w:rsidRPr="005A5542" w:rsidRDefault="00CF72EE" w:rsidP="005F7CD8">
            <w:pPr>
              <w:spacing w:before="120" w:after="120"/>
              <w:jc w:val="center"/>
              <w:rPr>
                <w:rFonts w:ascii="Century Gothic" w:hAnsi="Century Gothic"/>
                <w:szCs w:val="20"/>
              </w:rPr>
            </w:pPr>
            <w:r w:rsidRPr="005A5542">
              <w:rPr>
                <w:rFonts w:ascii="Century Gothic" w:hAnsi="Century Gothic"/>
                <w:szCs w:val="20"/>
              </w:rPr>
              <w:t>FX Order Processing</w:t>
            </w:r>
          </w:p>
        </w:tc>
        <w:tc>
          <w:tcPr>
            <w:tcW w:w="4788" w:type="dxa"/>
          </w:tcPr>
          <w:p w14:paraId="0C5CAC65" w14:textId="77777777" w:rsidR="00CF72EE" w:rsidRPr="005A5542" w:rsidRDefault="00CF72EE" w:rsidP="005F7CD8">
            <w:pPr>
              <w:spacing w:before="120" w:after="120"/>
              <w:jc w:val="center"/>
              <w:rPr>
                <w:rFonts w:ascii="Century Gothic" w:hAnsi="Century Gothic"/>
                <w:szCs w:val="20"/>
              </w:rPr>
            </w:pPr>
            <w:r w:rsidRPr="005A5542">
              <w:rPr>
                <w:rFonts w:ascii="Century Gothic" w:hAnsi="Century Gothic"/>
                <w:szCs w:val="20"/>
              </w:rPr>
              <w:t>Implicit</w:t>
            </w:r>
          </w:p>
        </w:tc>
      </w:tr>
      <w:tr w:rsidR="00CF72EE" w14:paraId="2EBFF836" w14:textId="77777777" w:rsidTr="005F7CD8">
        <w:tc>
          <w:tcPr>
            <w:tcW w:w="4788" w:type="dxa"/>
          </w:tcPr>
          <w:p w14:paraId="0C0332A8" w14:textId="77777777" w:rsidR="00CF72EE" w:rsidRPr="005A5542" w:rsidRDefault="00CF72EE" w:rsidP="005F7CD8">
            <w:pPr>
              <w:spacing w:before="120" w:after="120"/>
              <w:jc w:val="center"/>
              <w:rPr>
                <w:rFonts w:ascii="Century Gothic" w:hAnsi="Century Gothic"/>
                <w:szCs w:val="20"/>
              </w:rPr>
            </w:pPr>
            <w:r w:rsidRPr="005A5542">
              <w:rPr>
                <w:rFonts w:ascii="Century Gothic" w:hAnsi="Century Gothic"/>
                <w:szCs w:val="20"/>
              </w:rPr>
              <w:lastRenderedPageBreak/>
              <w:t>Allow Transaction Overrides</w:t>
            </w:r>
          </w:p>
        </w:tc>
        <w:tc>
          <w:tcPr>
            <w:tcW w:w="4788" w:type="dxa"/>
          </w:tcPr>
          <w:p w14:paraId="71BB051C" w14:textId="77777777" w:rsidR="00CF72EE" w:rsidRPr="005A5542" w:rsidRDefault="00CF72EE" w:rsidP="005F7CD8">
            <w:pPr>
              <w:spacing w:before="120" w:after="120"/>
              <w:jc w:val="center"/>
              <w:rPr>
                <w:rFonts w:ascii="Century Gothic" w:hAnsi="Century Gothic"/>
                <w:szCs w:val="20"/>
              </w:rPr>
            </w:pPr>
            <w:r w:rsidRPr="005A5542">
              <w:rPr>
                <w:rFonts w:ascii="Century Gothic" w:hAnsi="Century Gothic"/>
                <w:szCs w:val="20"/>
              </w:rPr>
              <w:t>No</w:t>
            </w:r>
          </w:p>
        </w:tc>
      </w:tr>
      <w:tr w:rsidR="00CF72EE" w14:paraId="7BD2720A" w14:textId="77777777" w:rsidTr="005F7CD8">
        <w:tc>
          <w:tcPr>
            <w:tcW w:w="4788" w:type="dxa"/>
          </w:tcPr>
          <w:p w14:paraId="15A1FEF8" w14:textId="77777777" w:rsidR="00CF72EE" w:rsidRPr="005A5542" w:rsidRDefault="00CF72EE" w:rsidP="005F7CD8">
            <w:pPr>
              <w:spacing w:before="120" w:after="120"/>
              <w:jc w:val="center"/>
              <w:rPr>
                <w:rFonts w:ascii="Century Gothic" w:hAnsi="Century Gothic"/>
                <w:szCs w:val="20"/>
              </w:rPr>
            </w:pPr>
            <w:r w:rsidRPr="005A5542">
              <w:rPr>
                <w:rFonts w:ascii="Century Gothic" w:hAnsi="Century Gothic"/>
                <w:szCs w:val="20"/>
              </w:rPr>
              <w:t>Taxable Status</w:t>
            </w:r>
          </w:p>
        </w:tc>
        <w:tc>
          <w:tcPr>
            <w:tcW w:w="4788" w:type="dxa"/>
          </w:tcPr>
          <w:p w14:paraId="02BF3149" w14:textId="77777777" w:rsidR="00CF72EE" w:rsidRPr="005A5542" w:rsidRDefault="00CF72EE" w:rsidP="005F7CD8">
            <w:pPr>
              <w:spacing w:before="120" w:after="120"/>
              <w:jc w:val="center"/>
              <w:rPr>
                <w:rFonts w:ascii="Century Gothic" w:hAnsi="Century Gothic"/>
                <w:szCs w:val="20"/>
              </w:rPr>
            </w:pPr>
            <w:r w:rsidRPr="005A5542">
              <w:rPr>
                <w:rFonts w:ascii="Century Gothic" w:hAnsi="Century Gothic"/>
                <w:szCs w:val="20"/>
              </w:rPr>
              <w:t>Non Taxable</w:t>
            </w:r>
          </w:p>
        </w:tc>
      </w:tr>
    </w:tbl>
    <w:p w14:paraId="536DF680" w14:textId="77777777" w:rsidR="00CF72EE" w:rsidRPr="00366AD4" w:rsidRDefault="00CF72EE" w:rsidP="00CF72EE">
      <w:pPr>
        <w:spacing w:before="120" w:after="120"/>
        <w:ind w:left="1440"/>
        <w:rPr>
          <w:rFonts w:ascii="Century Gothic" w:hAnsi="Century Gothic"/>
          <w:szCs w:val="20"/>
        </w:rPr>
      </w:pPr>
    </w:p>
    <w:p w14:paraId="3C9669A3" w14:textId="77777777" w:rsidR="00CF72EE" w:rsidRPr="00CF72EE" w:rsidRDefault="00CF72EE" w:rsidP="00CF72EE">
      <w:pPr>
        <w:numPr>
          <w:ilvl w:val="1"/>
          <w:numId w:val="2"/>
        </w:numPr>
        <w:spacing w:before="120" w:after="120"/>
        <w:rPr>
          <w:rFonts w:ascii="Century Gothic" w:hAnsi="Century Gothic"/>
          <w:b/>
          <w:szCs w:val="20"/>
        </w:rPr>
      </w:pPr>
      <w:r w:rsidRPr="00CF72EE">
        <w:rPr>
          <w:rFonts w:ascii="Century Gothic" w:hAnsi="Century Gothic"/>
          <w:b/>
          <w:szCs w:val="20"/>
        </w:rPr>
        <w:t>Calculate the Current Age of Primary Owner</w:t>
      </w:r>
    </w:p>
    <w:p w14:paraId="715F6396" w14:textId="77777777" w:rsidR="00CF72EE" w:rsidRPr="00366AD4" w:rsidRDefault="00CF72EE" w:rsidP="00CF72EE">
      <w:pPr>
        <w:spacing w:before="120" w:after="120"/>
        <w:ind w:left="1440"/>
        <w:rPr>
          <w:rFonts w:ascii="Century Gothic" w:hAnsi="Century Gothic"/>
          <w:szCs w:val="20"/>
        </w:rPr>
      </w:pPr>
      <w:r w:rsidRPr="00366AD4">
        <w:rPr>
          <w:rFonts w:ascii="Century Gothic" w:hAnsi="Century Gothic"/>
          <w:szCs w:val="20"/>
        </w:rPr>
        <w:t>Calculate the current age of the primary owner of the account with account type=“</w:t>
      </w:r>
      <w:r w:rsidRPr="00366AD4">
        <w:rPr>
          <w:rFonts w:ascii="Century Gothic" w:hAnsi="Century Gothic"/>
        </w:rPr>
        <w:t>Stocks and Shares Junior ISA”</w:t>
      </w:r>
      <w:r w:rsidRPr="00366AD4">
        <w:rPr>
          <w:rFonts w:ascii="Century Gothic" w:hAnsi="Century Gothic"/>
          <w:szCs w:val="20"/>
        </w:rPr>
        <w:t xml:space="preserve"> in the following scenarios:</w:t>
      </w:r>
    </w:p>
    <w:p w14:paraId="737C555E" w14:textId="77777777" w:rsidR="00CF72EE" w:rsidRPr="00366AD4" w:rsidRDefault="00CF72EE" w:rsidP="00CF72EE">
      <w:pPr>
        <w:numPr>
          <w:ilvl w:val="2"/>
          <w:numId w:val="2"/>
        </w:numPr>
        <w:spacing w:before="120" w:after="120"/>
        <w:rPr>
          <w:rFonts w:ascii="Century Gothic" w:hAnsi="Century Gothic"/>
          <w:szCs w:val="20"/>
        </w:rPr>
      </w:pPr>
      <w:r w:rsidRPr="00366AD4">
        <w:rPr>
          <w:rFonts w:ascii="Century Gothic" w:hAnsi="Century Gothic"/>
          <w:szCs w:val="20"/>
        </w:rPr>
        <w:t>While creating a new WIP Account with account type=“</w:t>
      </w:r>
      <w:r w:rsidRPr="00366AD4">
        <w:rPr>
          <w:rFonts w:ascii="Century Gothic" w:hAnsi="Century Gothic"/>
        </w:rPr>
        <w:t>Stocks and Shares Junior ISA” and the primary owner selected for the respective account contains a value for Date of Birth.</w:t>
      </w:r>
    </w:p>
    <w:p w14:paraId="03E3FC4D" w14:textId="77777777" w:rsidR="00CF72EE" w:rsidRPr="00366AD4" w:rsidRDefault="00CF72EE" w:rsidP="00CF72EE">
      <w:pPr>
        <w:numPr>
          <w:ilvl w:val="2"/>
          <w:numId w:val="2"/>
        </w:numPr>
        <w:spacing w:before="120" w:after="120"/>
        <w:rPr>
          <w:rFonts w:ascii="Century Gothic" w:hAnsi="Century Gothic"/>
          <w:szCs w:val="20"/>
        </w:rPr>
      </w:pPr>
      <w:r w:rsidRPr="00366AD4">
        <w:rPr>
          <w:rFonts w:ascii="Century Gothic" w:hAnsi="Century Gothic"/>
          <w:szCs w:val="20"/>
        </w:rPr>
        <w:t>Submitting an enrollment that contains one or more accounts with account type=“</w:t>
      </w:r>
      <w:r w:rsidRPr="00366AD4">
        <w:rPr>
          <w:rFonts w:ascii="Century Gothic" w:hAnsi="Century Gothic"/>
        </w:rPr>
        <w:t>Stocks and Shares Junior ISA”.</w:t>
      </w:r>
    </w:p>
    <w:p w14:paraId="5C52C0E8" w14:textId="77777777" w:rsidR="00CF72EE" w:rsidRPr="00366AD4" w:rsidRDefault="00CF72EE" w:rsidP="00CF72EE">
      <w:pPr>
        <w:numPr>
          <w:ilvl w:val="3"/>
          <w:numId w:val="2"/>
        </w:numPr>
        <w:spacing w:before="120" w:after="120"/>
        <w:rPr>
          <w:rFonts w:ascii="Century Gothic" w:hAnsi="Century Gothic"/>
          <w:szCs w:val="20"/>
        </w:rPr>
      </w:pPr>
      <w:r w:rsidRPr="00366AD4">
        <w:rPr>
          <w:rFonts w:ascii="Century Gothic" w:hAnsi="Century Gothic"/>
          <w:szCs w:val="20"/>
        </w:rPr>
        <w:t>Do Not Create Account / Submit Enrollment</w:t>
      </w:r>
    </w:p>
    <w:p w14:paraId="6DBF6131" w14:textId="77777777" w:rsidR="00CF72EE" w:rsidRPr="00366AD4" w:rsidRDefault="00CF72EE" w:rsidP="00CF72EE">
      <w:pPr>
        <w:spacing w:before="120" w:after="120"/>
        <w:ind w:left="2520"/>
        <w:rPr>
          <w:rFonts w:ascii="Century Gothic" w:hAnsi="Century Gothic"/>
          <w:szCs w:val="20"/>
        </w:rPr>
      </w:pPr>
      <w:r w:rsidRPr="00366AD4">
        <w:rPr>
          <w:rFonts w:ascii="Century Gothic" w:hAnsi="Century Gothic"/>
          <w:szCs w:val="20"/>
        </w:rPr>
        <w:t>Do not allow the user to create account / / submit enrollment if the calculated current age of the user is equal to or greater than 18 years.</w:t>
      </w:r>
    </w:p>
    <w:p w14:paraId="7463E311" w14:textId="77777777" w:rsidR="00CF72EE" w:rsidRPr="00CF72EE" w:rsidRDefault="00CF72EE" w:rsidP="00CF72EE">
      <w:pPr>
        <w:numPr>
          <w:ilvl w:val="1"/>
          <w:numId w:val="2"/>
        </w:numPr>
        <w:spacing w:before="120" w:after="120"/>
        <w:rPr>
          <w:rFonts w:ascii="Century Gothic" w:hAnsi="Century Gothic"/>
          <w:b/>
          <w:szCs w:val="20"/>
        </w:rPr>
      </w:pPr>
      <w:r w:rsidRPr="00CF72EE">
        <w:rPr>
          <w:rFonts w:ascii="Century Gothic" w:hAnsi="Century Gothic"/>
          <w:b/>
          <w:szCs w:val="20"/>
        </w:rPr>
        <w:t xml:space="preserve">Default Value for Tax ID Type= Unknown NINO </w:t>
      </w:r>
    </w:p>
    <w:p w14:paraId="370B06FA" w14:textId="77777777" w:rsidR="00CF72EE" w:rsidRPr="00366AD4" w:rsidRDefault="00CF72EE" w:rsidP="00CF72EE">
      <w:pPr>
        <w:spacing w:before="120" w:after="120"/>
        <w:ind w:left="1440"/>
        <w:rPr>
          <w:rFonts w:ascii="Century Gothic" w:hAnsi="Century Gothic"/>
          <w:szCs w:val="20"/>
        </w:rPr>
      </w:pPr>
      <w:r w:rsidRPr="00366AD4">
        <w:rPr>
          <w:rFonts w:ascii="Century Gothic" w:hAnsi="Century Gothic"/>
          <w:szCs w:val="20"/>
        </w:rPr>
        <w:t>For Tax ID Type= Unknown NINO and Tax Identifier Country=UK, set the following default Tax ID Values based on the age of the primary owner</w:t>
      </w:r>
      <w:r>
        <w:rPr>
          <w:rFonts w:ascii="Century Gothic" w:hAnsi="Century Gothic"/>
          <w:szCs w:val="20"/>
        </w:rPr>
        <w:t>/client</w:t>
      </w:r>
      <w:r w:rsidRPr="00366AD4">
        <w:rPr>
          <w:rFonts w:ascii="Century Gothic" w:hAnsi="Century Gothic"/>
          <w:szCs w:val="20"/>
        </w:rPr>
        <w:t xml:space="preserve"> of the account-irrespective of the account type: </w:t>
      </w:r>
    </w:p>
    <w:p w14:paraId="3D176BC7" w14:textId="77777777" w:rsidR="00CF72EE" w:rsidRPr="00366AD4" w:rsidRDefault="00CF72EE" w:rsidP="00CF72EE">
      <w:pPr>
        <w:numPr>
          <w:ilvl w:val="2"/>
          <w:numId w:val="16"/>
        </w:numPr>
        <w:spacing w:after="120"/>
        <w:rPr>
          <w:rFonts w:ascii="Century Gothic" w:eastAsia="Calibri" w:hAnsi="Century Gothic"/>
          <w:szCs w:val="20"/>
        </w:rPr>
      </w:pPr>
      <w:r w:rsidRPr="00366AD4">
        <w:rPr>
          <w:rFonts w:ascii="Century Gothic" w:hAnsi="Century Gothic"/>
          <w:szCs w:val="20"/>
        </w:rPr>
        <w:t>If Primary Owner</w:t>
      </w:r>
      <w:r>
        <w:rPr>
          <w:rFonts w:ascii="Century Gothic" w:hAnsi="Century Gothic"/>
          <w:szCs w:val="20"/>
        </w:rPr>
        <w:t>/client</w:t>
      </w:r>
      <w:r w:rsidRPr="00366AD4">
        <w:rPr>
          <w:rFonts w:ascii="Century Gothic" w:hAnsi="Century Gothic"/>
          <w:szCs w:val="20"/>
        </w:rPr>
        <w:t xml:space="preserve"> is under 18 set to ‘YY888888Y’ regardless of account type.  </w:t>
      </w:r>
    </w:p>
    <w:p w14:paraId="468E8BA8" w14:textId="77777777" w:rsidR="00CF72EE" w:rsidRPr="00366AD4" w:rsidRDefault="00CF72EE" w:rsidP="00CF72EE">
      <w:pPr>
        <w:numPr>
          <w:ilvl w:val="2"/>
          <w:numId w:val="16"/>
        </w:numPr>
        <w:spacing w:after="120"/>
        <w:rPr>
          <w:rFonts w:ascii="Century Gothic" w:hAnsi="Century Gothic"/>
          <w:szCs w:val="20"/>
        </w:rPr>
      </w:pPr>
      <w:r w:rsidRPr="00366AD4">
        <w:rPr>
          <w:rFonts w:ascii="Century Gothic" w:hAnsi="Century Gothic"/>
          <w:szCs w:val="20"/>
        </w:rPr>
        <w:t>If Primary Owner</w:t>
      </w:r>
      <w:r>
        <w:rPr>
          <w:rFonts w:ascii="Century Gothic" w:hAnsi="Century Gothic"/>
          <w:szCs w:val="20"/>
        </w:rPr>
        <w:t>/client</w:t>
      </w:r>
      <w:r w:rsidRPr="00366AD4">
        <w:rPr>
          <w:rFonts w:ascii="Century Gothic" w:hAnsi="Century Gothic"/>
          <w:szCs w:val="20"/>
        </w:rPr>
        <w:t xml:space="preserve"> is over 18 set to ‘XX999999X’ regardless of account type.  </w:t>
      </w:r>
    </w:p>
    <w:p w14:paraId="6590881E" w14:textId="77777777" w:rsidR="00CF72EE" w:rsidRPr="00366AD4" w:rsidRDefault="00CF72EE" w:rsidP="00CF72EE">
      <w:pPr>
        <w:numPr>
          <w:ilvl w:val="3"/>
          <w:numId w:val="16"/>
        </w:numPr>
        <w:spacing w:after="120"/>
        <w:rPr>
          <w:rFonts w:ascii="Century Gothic" w:hAnsi="Century Gothic"/>
          <w:szCs w:val="20"/>
        </w:rPr>
      </w:pPr>
      <w:r w:rsidRPr="00366AD4">
        <w:rPr>
          <w:rFonts w:ascii="Century Gothic" w:hAnsi="Century Gothic"/>
          <w:szCs w:val="20"/>
        </w:rPr>
        <w:t>User shall not be allowed to change the defaulted values.</w:t>
      </w:r>
    </w:p>
    <w:p w14:paraId="74C2C9CD" w14:textId="77777777" w:rsidR="00CF72EE" w:rsidRDefault="00CF72EE" w:rsidP="00CF72EE">
      <w:pPr>
        <w:numPr>
          <w:ilvl w:val="2"/>
          <w:numId w:val="2"/>
        </w:numPr>
        <w:spacing w:before="120" w:after="120"/>
        <w:rPr>
          <w:rFonts w:ascii="Century Gothic" w:hAnsi="Century Gothic"/>
          <w:szCs w:val="20"/>
        </w:rPr>
      </w:pPr>
      <w:r>
        <w:rPr>
          <w:rFonts w:ascii="Century Gothic" w:hAnsi="Century Gothic"/>
          <w:szCs w:val="20"/>
        </w:rPr>
        <w:t xml:space="preserve">If a value for date of birth of primary owner/client is not available, assume the age of the primary owner/client to be over 18 years and set the value to </w:t>
      </w:r>
      <w:r w:rsidRPr="00366AD4">
        <w:rPr>
          <w:rFonts w:ascii="Century Gothic" w:hAnsi="Century Gothic"/>
          <w:szCs w:val="20"/>
        </w:rPr>
        <w:t>‘XX999999X’</w:t>
      </w:r>
      <w:r>
        <w:rPr>
          <w:rFonts w:ascii="Century Gothic" w:hAnsi="Century Gothic"/>
          <w:szCs w:val="20"/>
        </w:rPr>
        <w:t>.</w:t>
      </w:r>
    </w:p>
    <w:p w14:paraId="6FC4B4AE" w14:textId="77777777" w:rsidR="00CF72EE" w:rsidRDefault="00CF72EE" w:rsidP="00CF72EE">
      <w:pPr>
        <w:numPr>
          <w:ilvl w:val="3"/>
          <w:numId w:val="2"/>
        </w:numPr>
        <w:spacing w:before="120" w:after="120"/>
        <w:rPr>
          <w:rFonts w:ascii="Century Gothic" w:hAnsi="Century Gothic"/>
          <w:szCs w:val="20"/>
        </w:rPr>
      </w:pPr>
      <w:r>
        <w:rPr>
          <w:rFonts w:ascii="Century Gothic" w:hAnsi="Century Gothic"/>
          <w:szCs w:val="20"/>
        </w:rPr>
        <w:t>Automatically update the default to a value for the respective age, if needed, once the ‘date of birth’ of the primary owner/client is available to calculate the current age.</w:t>
      </w:r>
    </w:p>
    <w:p w14:paraId="6854771D" w14:textId="77777777" w:rsidR="00CF72EE" w:rsidRPr="00CF72EE" w:rsidRDefault="00CF72EE" w:rsidP="00CF72EE">
      <w:pPr>
        <w:numPr>
          <w:ilvl w:val="1"/>
          <w:numId w:val="2"/>
        </w:numPr>
        <w:spacing w:before="120" w:after="120"/>
        <w:rPr>
          <w:rFonts w:ascii="Century Gothic" w:hAnsi="Century Gothic"/>
          <w:b/>
          <w:szCs w:val="20"/>
        </w:rPr>
      </w:pPr>
      <w:r w:rsidRPr="00CF72EE">
        <w:rPr>
          <w:rFonts w:ascii="Century Gothic" w:hAnsi="Century Gothic"/>
          <w:b/>
          <w:szCs w:val="20"/>
        </w:rPr>
        <w:t>Create new account relationship of ‘Registered Contact”</w:t>
      </w:r>
    </w:p>
    <w:p w14:paraId="0B6A6FC7" w14:textId="77777777" w:rsidR="00CF72EE" w:rsidRPr="00366AD4" w:rsidRDefault="00CF72EE" w:rsidP="00CF72EE">
      <w:pPr>
        <w:spacing w:before="120" w:after="120"/>
        <w:ind w:left="1440"/>
        <w:rPr>
          <w:rFonts w:ascii="Century Gothic" w:hAnsi="Century Gothic"/>
        </w:rPr>
      </w:pPr>
      <w:r w:rsidRPr="00366AD4">
        <w:rPr>
          <w:rFonts w:ascii="Century Gothic" w:hAnsi="Century Gothic"/>
          <w:szCs w:val="20"/>
        </w:rPr>
        <w:t>Account type of “</w:t>
      </w:r>
      <w:r w:rsidRPr="00366AD4">
        <w:rPr>
          <w:rFonts w:ascii="Century Gothic" w:hAnsi="Century Gothic"/>
        </w:rPr>
        <w:t xml:space="preserve">Stocks and Shares Junior ISA” mandates a new account relationship of ‘Registered Contact’ to be created. </w:t>
      </w:r>
    </w:p>
    <w:p w14:paraId="0D4EC969" w14:textId="77777777" w:rsidR="00CF72EE" w:rsidRPr="00366AD4" w:rsidRDefault="00CF72EE" w:rsidP="00CF72EE">
      <w:pPr>
        <w:numPr>
          <w:ilvl w:val="2"/>
          <w:numId w:val="2"/>
        </w:numPr>
        <w:spacing w:before="120" w:after="120"/>
        <w:rPr>
          <w:rFonts w:ascii="Century Gothic" w:hAnsi="Century Gothic"/>
          <w:szCs w:val="20"/>
        </w:rPr>
      </w:pPr>
      <w:r w:rsidRPr="00366AD4">
        <w:rPr>
          <w:rFonts w:ascii="Century Gothic" w:hAnsi="Century Gothic"/>
          <w:szCs w:val="20"/>
        </w:rPr>
        <w:t>Registered Contact can be created by creating a new registered contact entity or by either using an existing client or an existing third party on the platform.</w:t>
      </w:r>
    </w:p>
    <w:p w14:paraId="229189C1" w14:textId="77777777" w:rsidR="00CF72EE" w:rsidRPr="00366AD4" w:rsidRDefault="00CF72EE" w:rsidP="00CF72EE">
      <w:pPr>
        <w:numPr>
          <w:ilvl w:val="2"/>
          <w:numId w:val="2"/>
        </w:numPr>
        <w:spacing w:before="120" w:after="120"/>
        <w:rPr>
          <w:rFonts w:ascii="Century Gothic" w:hAnsi="Century Gothic"/>
          <w:szCs w:val="20"/>
        </w:rPr>
      </w:pPr>
      <w:r w:rsidRPr="00366AD4">
        <w:rPr>
          <w:rFonts w:ascii="Century Gothic" w:hAnsi="Century Gothic"/>
          <w:szCs w:val="20"/>
        </w:rPr>
        <w:t>Registered Contact can either be an individual or an organization</w:t>
      </w:r>
    </w:p>
    <w:p w14:paraId="445E64F7" w14:textId="77777777" w:rsidR="00CF72EE" w:rsidRPr="00366AD4" w:rsidRDefault="00CF72EE" w:rsidP="00CF72EE">
      <w:pPr>
        <w:numPr>
          <w:ilvl w:val="2"/>
          <w:numId w:val="2"/>
        </w:numPr>
        <w:spacing w:before="120" w:after="120"/>
        <w:rPr>
          <w:rFonts w:ascii="Century Gothic" w:hAnsi="Century Gothic"/>
          <w:szCs w:val="20"/>
        </w:rPr>
      </w:pPr>
      <w:r w:rsidRPr="00366AD4">
        <w:rPr>
          <w:rFonts w:ascii="Century Gothic" w:hAnsi="Century Gothic"/>
          <w:szCs w:val="20"/>
        </w:rPr>
        <w:lastRenderedPageBreak/>
        <w:t>If the registered contact is also the primary owner of the account, validate that the age of the primary owner is at least 16 years.</w:t>
      </w:r>
    </w:p>
    <w:p w14:paraId="745425E1" w14:textId="77777777" w:rsidR="00CF72EE" w:rsidRPr="00366AD4" w:rsidRDefault="00CF72EE" w:rsidP="00CF72EE">
      <w:pPr>
        <w:numPr>
          <w:ilvl w:val="3"/>
          <w:numId w:val="2"/>
        </w:numPr>
        <w:spacing w:before="120" w:after="120"/>
        <w:rPr>
          <w:rFonts w:ascii="Century Gothic" w:hAnsi="Century Gothic"/>
          <w:szCs w:val="20"/>
        </w:rPr>
      </w:pPr>
      <w:r w:rsidRPr="00366AD4">
        <w:rPr>
          <w:rFonts w:ascii="Century Gothic" w:hAnsi="Century Gothic"/>
          <w:szCs w:val="20"/>
        </w:rPr>
        <w:t>Do not save the account update if the age of the primary owner is less than 16 years and the registered contact is also the primary owner of the account.</w:t>
      </w:r>
    </w:p>
    <w:p w14:paraId="5B3E13E2" w14:textId="77777777" w:rsidR="00CF72EE" w:rsidRPr="00366AD4" w:rsidRDefault="00CF72EE" w:rsidP="00CF72EE">
      <w:pPr>
        <w:spacing w:after="120"/>
        <w:rPr>
          <w:rFonts w:ascii="Century Gothic" w:hAnsi="Century Gothic" w:cs="Arial"/>
        </w:rPr>
      </w:pPr>
    </w:p>
    <w:p w14:paraId="778DBBB6" w14:textId="77777777" w:rsidR="00CF72EE" w:rsidRPr="00366AD4" w:rsidRDefault="00CF72EE" w:rsidP="00CF72EE">
      <w:pPr>
        <w:spacing w:after="120"/>
        <w:ind w:left="2160"/>
        <w:rPr>
          <w:rFonts w:cs="Arial"/>
        </w:rPr>
      </w:pPr>
    </w:p>
    <w:p w14:paraId="13672391" w14:textId="77777777" w:rsidR="00CF72EE" w:rsidRPr="00366AD4" w:rsidRDefault="00CF72EE" w:rsidP="00CF72EE">
      <w:pPr>
        <w:spacing w:after="120"/>
        <w:ind w:left="2160"/>
        <w:rPr>
          <w:rFonts w:cs="Arial"/>
        </w:rPr>
      </w:pPr>
    </w:p>
    <w:p w14:paraId="76CC1B42" w14:textId="77777777" w:rsidR="00CF72EE" w:rsidRPr="00366AD4" w:rsidRDefault="00CF72EE" w:rsidP="00CF72EE">
      <w:pPr>
        <w:spacing w:before="120" w:after="120"/>
        <w:rPr>
          <w:rFonts w:ascii="Century Gothic" w:hAnsi="Century Gothic"/>
          <w:szCs w:val="20"/>
        </w:rPr>
      </w:pPr>
    </w:p>
    <w:p w14:paraId="0F3EABEA" w14:textId="77777777" w:rsidR="00CF72EE" w:rsidRPr="00366AD4" w:rsidRDefault="00CF72EE" w:rsidP="00CF72EE">
      <w:pPr>
        <w:spacing w:before="120" w:after="120"/>
        <w:rPr>
          <w:rFonts w:ascii="Century Gothic" w:hAnsi="Century Gothic"/>
          <w:sz w:val="18"/>
          <w:szCs w:val="18"/>
        </w:rPr>
      </w:pPr>
    </w:p>
    <w:sectPr w:rsidR="00CF72EE" w:rsidRPr="00366AD4" w:rsidSect="00F239B6">
      <w:headerReference w:type="default" r:id="rId7"/>
      <w:footerReference w:type="default" r:id="rId8"/>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4BEB7" w14:textId="77777777" w:rsidR="00FE1061" w:rsidRDefault="00FE1061" w:rsidP="00CF72EE">
      <w:r>
        <w:separator/>
      </w:r>
    </w:p>
  </w:endnote>
  <w:endnote w:type="continuationSeparator" w:id="0">
    <w:p w14:paraId="5CC62B90" w14:textId="77777777" w:rsidR="00FE1061" w:rsidRDefault="00FE1061" w:rsidP="00CF7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C0C0C0"/>
      </w:tblBorders>
      <w:tblLook w:val="0000" w:firstRow="0" w:lastRow="0" w:firstColumn="0" w:lastColumn="0" w:noHBand="0" w:noVBand="0"/>
    </w:tblPr>
    <w:tblGrid>
      <w:gridCol w:w="3888"/>
      <w:gridCol w:w="1620"/>
      <w:gridCol w:w="3348"/>
    </w:tblGrid>
    <w:tr w:rsidR="00E05A11" w:rsidRPr="00902193" w14:paraId="68DB5256" w14:textId="77777777">
      <w:tc>
        <w:tcPr>
          <w:tcW w:w="3888" w:type="dxa"/>
        </w:tcPr>
        <w:p w14:paraId="04F99F1D" w14:textId="77777777" w:rsidR="00E05A11" w:rsidRPr="00902193" w:rsidRDefault="00FE1061" w:rsidP="002E3747">
          <w:pPr>
            <w:pStyle w:val="Footer"/>
            <w:rPr>
              <w:rFonts w:cs="Arial"/>
              <w:sz w:val="16"/>
              <w:szCs w:val="16"/>
            </w:rPr>
          </w:pPr>
        </w:p>
      </w:tc>
      <w:tc>
        <w:tcPr>
          <w:tcW w:w="1620" w:type="dxa"/>
        </w:tcPr>
        <w:p w14:paraId="7759C904" w14:textId="77777777" w:rsidR="00E05A11" w:rsidRPr="00902193" w:rsidRDefault="00FE1061" w:rsidP="002E3747">
          <w:pPr>
            <w:pStyle w:val="Footer"/>
            <w:jc w:val="center"/>
            <w:rPr>
              <w:rFonts w:cs="Arial"/>
              <w:sz w:val="16"/>
              <w:szCs w:val="16"/>
            </w:rPr>
          </w:pPr>
        </w:p>
      </w:tc>
      <w:tc>
        <w:tcPr>
          <w:tcW w:w="3348" w:type="dxa"/>
        </w:tcPr>
        <w:p w14:paraId="4A81991A" w14:textId="77777777" w:rsidR="00E05A11" w:rsidRPr="00902193" w:rsidRDefault="00FE1061" w:rsidP="002E3747">
          <w:pPr>
            <w:pStyle w:val="Footer"/>
            <w:jc w:val="right"/>
            <w:rPr>
              <w:rFonts w:cs="Arial"/>
              <w:sz w:val="16"/>
              <w:szCs w:val="16"/>
            </w:rPr>
          </w:pPr>
        </w:p>
      </w:tc>
    </w:tr>
  </w:tbl>
  <w:p w14:paraId="40F2898E" w14:textId="77777777" w:rsidR="00E05A11" w:rsidRPr="00902193" w:rsidRDefault="00FE1061">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DFCE0" w14:textId="77777777" w:rsidR="00FE1061" w:rsidRDefault="00FE1061" w:rsidP="00CF72EE">
      <w:r>
        <w:separator/>
      </w:r>
    </w:p>
  </w:footnote>
  <w:footnote w:type="continuationSeparator" w:id="0">
    <w:p w14:paraId="277624C7" w14:textId="77777777" w:rsidR="00FE1061" w:rsidRDefault="00FE1061" w:rsidP="00CF7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925F6" w14:textId="77777777" w:rsidR="00E05A11" w:rsidRDefault="0008070B" w:rsidP="002E3747">
    <w:pPr>
      <w:pStyle w:val="Title"/>
      <w:jc w:val="right"/>
      <w:rPr>
        <w:rFonts w:cs="Arial"/>
        <w:sz w:val="28"/>
        <w:szCs w:val="28"/>
      </w:rPr>
    </w:pPr>
    <w:r>
      <w:rPr>
        <w:rFonts w:cs="Arial"/>
        <w:sz w:val="28"/>
        <w:szCs w:val="28"/>
      </w:rPr>
      <w:t>CORE – RM/AO</w:t>
    </w:r>
  </w:p>
  <w:p w14:paraId="54A23DC9" w14:textId="77777777" w:rsidR="00E05A11" w:rsidRPr="00112E89" w:rsidRDefault="0008070B" w:rsidP="002E3747">
    <w:pPr>
      <w:pStyle w:val="Title"/>
      <w:jc w:val="right"/>
      <w:rPr>
        <w:rFonts w:cs="Arial"/>
        <w:sz w:val="28"/>
        <w:szCs w:val="28"/>
      </w:rPr>
    </w:pPr>
    <w:r>
      <w:rPr>
        <w:rFonts w:cs="Arial"/>
        <w:sz w:val="28"/>
        <w:szCs w:val="28"/>
      </w:rPr>
      <w:t>Functional Requirements Overview</w:t>
    </w:r>
  </w:p>
  <w:p w14:paraId="6F2925AD" w14:textId="77777777" w:rsidR="00E05A11" w:rsidRPr="00112E89" w:rsidRDefault="0008070B" w:rsidP="002E3747">
    <w:pPr>
      <w:pStyle w:val="Subtitle"/>
      <w:jc w:val="right"/>
      <w:rPr>
        <w:rFonts w:cs="Arial"/>
        <w:sz w:val="28"/>
        <w:szCs w:val="28"/>
      </w:rPr>
    </w:pPr>
    <w:r>
      <w:rPr>
        <w:rFonts w:cs="Arial"/>
        <w:sz w:val="28"/>
        <w:szCs w:val="28"/>
      </w:rPr>
      <w:t>Stocks and Shares Junior ISA Accounts</w:t>
    </w:r>
  </w:p>
  <w:p w14:paraId="18976000" w14:textId="77777777" w:rsidR="00E05A11" w:rsidRPr="005C46C3" w:rsidRDefault="0008070B" w:rsidP="002E3747">
    <w:pPr>
      <w:pStyle w:val="Header"/>
      <w:jc w:val="right"/>
      <w:rPr>
        <w:rFonts w:cs="Arial"/>
        <w:b/>
        <w:sz w:val="28"/>
        <w:szCs w:val="28"/>
      </w:rPr>
    </w:pPr>
    <w:r w:rsidRPr="00112E89">
      <w:rPr>
        <w:sz w:val="28"/>
        <w:szCs w:val="28"/>
      </w:rPr>
      <w:tab/>
    </w:r>
    <w:r w:rsidRPr="00112E89">
      <w:rPr>
        <w:sz w:val="28"/>
        <w:szCs w:val="28"/>
      </w:rPr>
      <w:tab/>
    </w:r>
    <w:r>
      <w:rPr>
        <w:rFonts w:cs="Arial"/>
        <w:sz w:val="28"/>
        <w:szCs w:val="28"/>
      </w:rPr>
      <w:t>Release</w:t>
    </w:r>
    <w:r w:rsidRPr="00112E89">
      <w:rPr>
        <w:rFonts w:cs="Arial"/>
        <w:sz w:val="28"/>
        <w:szCs w:val="28"/>
      </w:rPr>
      <w:t xml:space="preserve"> </w:t>
    </w:r>
    <w:r>
      <w:rPr>
        <w:rFonts w:cs="Arial"/>
        <w:sz w:val="28"/>
        <w:szCs w:val="28"/>
      </w:rPr>
      <w:t>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84785"/>
    <w:multiLevelType w:val="hybridMultilevel"/>
    <w:tmpl w:val="CEFE7820"/>
    <w:lvl w:ilvl="0" w:tplc="DA56CFB2">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F5CD0"/>
    <w:multiLevelType w:val="hybridMultilevel"/>
    <w:tmpl w:val="D86AD8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C266234"/>
    <w:multiLevelType w:val="hybridMultilevel"/>
    <w:tmpl w:val="55924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C5342"/>
    <w:multiLevelType w:val="hybridMultilevel"/>
    <w:tmpl w:val="55924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716B1"/>
    <w:multiLevelType w:val="hybridMultilevel"/>
    <w:tmpl w:val="636EE966"/>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F1261"/>
    <w:multiLevelType w:val="hybridMultilevel"/>
    <w:tmpl w:val="47D65A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4F314DB"/>
    <w:multiLevelType w:val="hybridMultilevel"/>
    <w:tmpl w:val="7A241E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3CE82228">
      <w:start w:val="1"/>
      <w:numFmt w:val="upperRoman"/>
      <w:lvlText w:val="%3."/>
      <w:lvlJc w:val="left"/>
      <w:pPr>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544C4F"/>
    <w:multiLevelType w:val="hybridMultilevel"/>
    <w:tmpl w:val="AF749216"/>
    <w:lvl w:ilvl="0" w:tplc="CF6E56C2">
      <w:start w:val="1"/>
      <w:numFmt w:val="decimal"/>
      <w:lvlText w:val="%1."/>
      <w:lvlJc w:val="left"/>
      <w:pPr>
        <w:ind w:left="720" w:hanging="360"/>
      </w:pPr>
      <w:rPr>
        <w:b w:val="0"/>
      </w:rPr>
    </w:lvl>
    <w:lvl w:ilvl="1" w:tplc="DA56CFB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871A4"/>
    <w:multiLevelType w:val="hybridMultilevel"/>
    <w:tmpl w:val="CF66148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4DB320D7"/>
    <w:multiLevelType w:val="hybridMultilevel"/>
    <w:tmpl w:val="8EBC53AA"/>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5E01211B"/>
    <w:multiLevelType w:val="hybridMultilevel"/>
    <w:tmpl w:val="234EC3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EF82663"/>
    <w:multiLevelType w:val="hybridMultilevel"/>
    <w:tmpl w:val="D6AC234A"/>
    <w:lvl w:ilvl="0" w:tplc="363E4296">
      <w:start w:val="1"/>
      <w:numFmt w:val="decimal"/>
      <w:lvlText w:val="%1."/>
      <w:lvlJc w:val="left"/>
      <w:pPr>
        <w:tabs>
          <w:tab w:val="num" w:pos="720"/>
        </w:tabs>
        <w:ind w:left="720" w:hanging="360"/>
      </w:pPr>
      <w:rPr>
        <w:b w:val="0"/>
      </w:rPr>
    </w:lvl>
    <w:lvl w:ilvl="1" w:tplc="1C4CEE22">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F4C3F31"/>
    <w:multiLevelType w:val="hybridMultilevel"/>
    <w:tmpl w:val="47D65A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2F6EB1"/>
    <w:multiLevelType w:val="hybridMultilevel"/>
    <w:tmpl w:val="F162C9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B2870A9"/>
    <w:multiLevelType w:val="hybridMultilevel"/>
    <w:tmpl w:val="A2589F84"/>
    <w:lvl w:ilvl="0" w:tplc="DA56CFB2">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6"/>
  </w:num>
  <w:num w:numId="4">
    <w:abstractNumId w:val="13"/>
  </w:num>
  <w:num w:numId="5">
    <w:abstractNumId w:val="2"/>
  </w:num>
  <w:num w:numId="6">
    <w:abstractNumId w:val="3"/>
  </w:num>
  <w:num w:numId="7">
    <w:abstractNumId w:val="12"/>
  </w:num>
  <w:num w:numId="8">
    <w:abstractNumId w:val="7"/>
  </w:num>
  <w:num w:numId="9">
    <w:abstractNumId w:val="0"/>
  </w:num>
  <w:num w:numId="10">
    <w:abstractNumId w:val="14"/>
  </w:num>
  <w:num w:numId="11">
    <w:abstractNumId w:val="4"/>
  </w:num>
  <w:num w:numId="12">
    <w:abstractNumId w:val="9"/>
  </w:num>
  <w:num w:numId="13">
    <w:abstractNumId w:val="1"/>
  </w:num>
  <w:num w:numId="14">
    <w:abstractNumId w:val="8"/>
  </w:num>
  <w:num w:numId="15">
    <w:abstractNumId w:val="1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EE"/>
    <w:rsid w:val="0006020C"/>
    <w:rsid w:val="000724B0"/>
    <w:rsid w:val="00073FC7"/>
    <w:rsid w:val="0008070B"/>
    <w:rsid w:val="000D4F00"/>
    <w:rsid w:val="000D6359"/>
    <w:rsid w:val="001263DE"/>
    <w:rsid w:val="00150967"/>
    <w:rsid w:val="001707E0"/>
    <w:rsid w:val="001720EF"/>
    <w:rsid w:val="0017663E"/>
    <w:rsid w:val="001A4D46"/>
    <w:rsid w:val="001C4105"/>
    <w:rsid w:val="0027169C"/>
    <w:rsid w:val="0028138E"/>
    <w:rsid w:val="0028387A"/>
    <w:rsid w:val="002C710A"/>
    <w:rsid w:val="002D12E9"/>
    <w:rsid w:val="002D2103"/>
    <w:rsid w:val="003073C0"/>
    <w:rsid w:val="00324E9F"/>
    <w:rsid w:val="00367418"/>
    <w:rsid w:val="003A48E2"/>
    <w:rsid w:val="003B38A1"/>
    <w:rsid w:val="003B5283"/>
    <w:rsid w:val="003E19E9"/>
    <w:rsid w:val="003F007F"/>
    <w:rsid w:val="0041596E"/>
    <w:rsid w:val="004264EF"/>
    <w:rsid w:val="00446F6C"/>
    <w:rsid w:val="00461735"/>
    <w:rsid w:val="004A7477"/>
    <w:rsid w:val="004B39EA"/>
    <w:rsid w:val="004C2AB3"/>
    <w:rsid w:val="004D7CE0"/>
    <w:rsid w:val="004E5B2A"/>
    <w:rsid w:val="0051026A"/>
    <w:rsid w:val="00555E14"/>
    <w:rsid w:val="00592058"/>
    <w:rsid w:val="005D79EC"/>
    <w:rsid w:val="005F33D0"/>
    <w:rsid w:val="005F3CD9"/>
    <w:rsid w:val="0060794A"/>
    <w:rsid w:val="00612712"/>
    <w:rsid w:val="00622512"/>
    <w:rsid w:val="006A597C"/>
    <w:rsid w:val="006F1AF7"/>
    <w:rsid w:val="0072575B"/>
    <w:rsid w:val="007401DF"/>
    <w:rsid w:val="00742BA1"/>
    <w:rsid w:val="007B0ED3"/>
    <w:rsid w:val="00805610"/>
    <w:rsid w:val="00871EC4"/>
    <w:rsid w:val="0087685D"/>
    <w:rsid w:val="00885B77"/>
    <w:rsid w:val="00890564"/>
    <w:rsid w:val="0089069F"/>
    <w:rsid w:val="0089716D"/>
    <w:rsid w:val="008C78B5"/>
    <w:rsid w:val="008E2C0F"/>
    <w:rsid w:val="008F2378"/>
    <w:rsid w:val="00902891"/>
    <w:rsid w:val="00914D41"/>
    <w:rsid w:val="00946DA5"/>
    <w:rsid w:val="009502DF"/>
    <w:rsid w:val="009A40ED"/>
    <w:rsid w:val="009D1DA1"/>
    <w:rsid w:val="00A31B43"/>
    <w:rsid w:val="00A41478"/>
    <w:rsid w:val="00A6346E"/>
    <w:rsid w:val="00A8742A"/>
    <w:rsid w:val="00AA17B7"/>
    <w:rsid w:val="00AB2B9A"/>
    <w:rsid w:val="00AD385F"/>
    <w:rsid w:val="00B028C4"/>
    <w:rsid w:val="00B10DEB"/>
    <w:rsid w:val="00B23885"/>
    <w:rsid w:val="00B242EE"/>
    <w:rsid w:val="00B269E4"/>
    <w:rsid w:val="00B472D3"/>
    <w:rsid w:val="00BA00D4"/>
    <w:rsid w:val="00C263C9"/>
    <w:rsid w:val="00C85408"/>
    <w:rsid w:val="00C85D0D"/>
    <w:rsid w:val="00C873AB"/>
    <w:rsid w:val="00CB6C9B"/>
    <w:rsid w:val="00CE51B2"/>
    <w:rsid w:val="00CF2D1A"/>
    <w:rsid w:val="00CF72EE"/>
    <w:rsid w:val="00D02112"/>
    <w:rsid w:val="00D32E8D"/>
    <w:rsid w:val="00D34D77"/>
    <w:rsid w:val="00D761F8"/>
    <w:rsid w:val="00D905DF"/>
    <w:rsid w:val="00D979D2"/>
    <w:rsid w:val="00DE61DB"/>
    <w:rsid w:val="00E05218"/>
    <w:rsid w:val="00E14F04"/>
    <w:rsid w:val="00E30DE5"/>
    <w:rsid w:val="00E412E0"/>
    <w:rsid w:val="00E94052"/>
    <w:rsid w:val="00EA4D67"/>
    <w:rsid w:val="00EA583B"/>
    <w:rsid w:val="00EB0B69"/>
    <w:rsid w:val="00EC17BB"/>
    <w:rsid w:val="00F14136"/>
    <w:rsid w:val="00F35B96"/>
    <w:rsid w:val="00F45FB7"/>
    <w:rsid w:val="00F52CBA"/>
    <w:rsid w:val="00F5649C"/>
    <w:rsid w:val="00F6001A"/>
    <w:rsid w:val="00F6265D"/>
    <w:rsid w:val="00FD1B2C"/>
    <w:rsid w:val="00FE1061"/>
    <w:rsid w:val="00FE76AE"/>
    <w:rsid w:val="00FF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CD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2EE"/>
    <w:rPr>
      <w:rFonts w:ascii="Arial" w:hAnsi="Arial"/>
      <w:szCs w:val="24"/>
    </w:rPr>
  </w:style>
  <w:style w:type="paragraph" w:styleId="Heading1">
    <w:name w:val="heading 1"/>
    <w:basedOn w:val="Normal"/>
    <w:next w:val="Normal"/>
    <w:link w:val="Heading1Char"/>
    <w:qFormat/>
    <w:rsid w:val="00CF72EE"/>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72EE"/>
    <w:rPr>
      <w:rFonts w:ascii="Arial" w:hAnsi="Arial" w:cs="Arial"/>
      <w:b/>
      <w:bCs/>
      <w:kern w:val="32"/>
      <w:sz w:val="32"/>
      <w:szCs w:val="32"/>
    </w:rPr>
  </w:style>
  <w:style w:type="paragraph" w:styleId="Title">
    <w:name w:val="Title"/>
    <w:basedOn w:val="Normal"/>
    <w:link w:val="TitleChar"/>
    <w:qFormat/>
    <w:rsid w:val="00CF72EE"/>
    <w:pPr>
      <w:ind w:left="720"/>
      <w:jc w:val="center"/>
    </w:pPr>
    <w:rPr>
      <w:b/>
      <w:bCs/>
    </w:rPr>
  </w:style>
  <w:style w:type="character" w:customStyle="1" w:styleId="TitleChar">
    <w:name w:val="Title Char"/>
    <w:basedOn w:val="DefaultParagraphFont"/>
    <w:link w:val="Title"/>
    <w:rsid w:val="00CF72EE"/>
    <w:rPr>
      <w:rFonts w:ascii="Arial" w:hAnsi="Arial"/>
      <w:b/>
      <w:bCs/>
      <w:szCs w:val="24"/>
    </w:rPr>
  </w:style>
  <w:style w:type="paragraph" w:styleId="Subtitle">
    <w:name w:val="Subtitle"/>
    <w:basedOn w:val="Normal"/>
    <w:link w:val="SubtitleChar"/>
    <w:qFormat/>
    <w:rsid w:val="00CF72EE"/>
    <w:pPr>
      <w:ind w:left="720"/>
      <w:jc w:val="center"/>
    </w:pPr>
    <w:rPr>
      <w:b/>
      <w:bCs/>
    </w:rPr>
  </w:style>
  <w:style w:type="character" w:customStyle="1" w:styleId="SubtitleChar">
    <w:name w:val="Subtitle Char"/>
    <w:basedOn w:val="DefaultParagraphFont"/>
    <w:link w:val="Subtitle"/>
    <w:rsid w:val="00CF72EE"/>
    <w:rPr>
      <w:rFonts w:ascii="Arial" w:hAnsi="Arial"/>
      <w:b/>
      <w:bCs/>
      <w:szCs w:val="24"/>
    </w:rPr>
  </w:style>
  <w:style w:type="paragraph" w:styleId="Header">
    <w:name w:val="header"/>
    <w:basedOn w:val="Normal"/>
    <w:link w:val="HeaderChar"/>
    <w:rsid w:val="00CF72EE"/>
    <w:pPr>
      <w:tabs>
        <w:tab w:val="center" w:pos="4320"/>
        <w:tab w:val="right" w:pos="8640"/>
      </w:tabs>
    </w:pPr>
  </w:style>
  <w:style w:type="character" w:customStyle="1" w:styleId="HeaderChar">
    <w:name w:val="Header Char"/>
    <w:basedOn w:val="DefaultParagraphFont"/>
    <w:link w:val="Header"/>
    <w:rsid w:val="00CF72EE"/>
    <w:rPr>
      <w:rFonts w:ascii="Arial" w:hAnsi="Arial"/>
      <w:szCs w:val="24"/>
    </w:rPr>
  </w:style>
  <w:style w:type="paragraph" w:styleId="Footer">
    <w:name w:val="footer"/>
    <w:basedOn w:val="Normal"/>
    <w:link w:val="FooterChar"/>
    <w:rsid w:val="00CF72EE"/>
    <w:pPr>
      <w:tabs>
        <w:tab w:val="center" w:pos="4320"/>
        <w:tab w:val="right" w:pos="8640"/>
      </w:tabs>
    </w:pPr>
  </w:style>
  <w:style w:type="character" w:customStyle="1" w:styleId="FooterChar">
    <w:name w:val="Footer Char"/>
    <w:basedOn w:val="DefaultParagraphFont"/>
    <w:link w:val="Footer"/>
    <w:rsid w:val="00CF72EE"/>
    <w:rPr>
      <w:rFonts w:ascii="Arial" w:hAnsi="Arial"/>
      <w:szCs w:val="24"/>
    </w:rPr>
  </w:style>
  <w:style w:type="character" w:styleId="Hyperlink">
    <w:name w:val="Hyperlink"/>
    <w:basedOn w:val="DefaultParagraphFont"/>
    <w:rsid w:val="00CF72EE"/>
    <w:rPr>
      <w:color w:val="0000FF"/>
      <w:u w:val="single"/>
    </w:rPr>
  </w:style>
  <w:style w:type="paragraph" w:styleId="ListParagraph">
    <w:name w:val="List Paragraph"/>
    <w:basedOn w:val="Normal"/>
    <w:uiPriority w:val="34"/>
    <w:qFormat/>
    <w:rsid w:val="00CF7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SEI</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MPatel</dc:creator>
  <cp:lastModifiedBy>BA M</cp:lastModifiedBy>
  <cp:revision>3</cp:revision>
  <dcterms:created xsi:type="dcterms:W3CDTF">2021-03-18T20:30:00Z</dcterms:created>
  <dcterms:modified xsi:type="dcterms:W3CDTF">2021-03-19T01:38:00Z</dcterms:modified>
</cp:coreProperties>
</file>