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Requerimientos funcionales y no funcionales</w:t>
      </w:r>
    </w:p>
    <w:p>
      <w:pPr>
        <w:spacing w:after="180"/>
      </w:pPr>
      <w:r>
        <w:rPr>
          <w:i/>
        </w:rPr>
        <w:t>Actualización del 13 de septiembre de 2026: el flujo sanguíneo se adelanta al monolito antes de extraer microservicios. Este documento conserva la línea base y los requisitos semestrales; sus fases no describen por sí solas el avance actual. El Reporte Técnico del Primer Avance 2.0 consolida el alcance vigente, las pruebas y los límites. Órganos/HLA y componentes distribuidos permanecen posteriores.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proyecto académico completo,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especifica los requerimientos funcionales y no funcionales de la solución completa, clasificados entre sistema web, microservicios, aplicación móvil, aplicación de escritorio, bases de datos, infraestructura, seguridad y monitoreo.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el subconjunto que deberá implementarse inicialmente; no elimina los requerimientos </w:t>
      </w:r>
      <w:r>
        <w:rPr>
          <w:b/>
        </w:rPr>
        <w:t>Posteriores</w:t>
      </w:r>
      <w:r>
        <w:t xml:space="preserve">. Los requerimientos </w:t>
      </w:r>
      <w:r>
        <w:rPr>
          <w:b/>
        </w:rPr>
        <w:t>Transversales</w:t>
      </w:r>
      <w:r>
        <w:t xml:space="preserve"> deberán considerarse desde el diseño y aplicarse en los incrementos correspondientes.</w:t>
      </w:r>
    </w:p>
    <w:p>
      <w:r>
        <w:t>La plataforma apoyará la coordinación y las decisiones, pero no sustituirá la evaluación médica, ética o normativa. Las reglas de compatibilidad, elegibilidad, urgencia, conservación, priorización y asignación deberán provenir de fuentes autorizadas, versionarse y validarse. Durante el proyecto académico solo se utilizarán datos ficticios y reglas demostrativas identificadas como tales.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Componentes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WEB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Sistema web empresarial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MS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Módulo de microservicios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MOV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Android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DESK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de escritorio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DAT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Bases de datos y almacenamiento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 e integración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SEC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Seguridad y privacidad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MON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Monitoreo y observabilidad</w:t>
            </w:r>
          </w:p>
        </w:tc>
      </w:tr>
    </w:tbl>
    <w:p>
      <w:pPr>
        <w:spacing w:after="0"/>
      </w:pPr>
    </w:p>
    <w:p>
      <w:pPr>
        <w:pStyle w:val="Heading2"/>
      </w:pPr>
      <w:r>
        <w:t>2.2 Fases y validación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Clasificación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Valores utilizados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Posterior o Transversal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 o 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Técnica, Demostrativa o Clínica/normativa</w:t>
            </w:r>
          </w:p>
        </w:tc>
      </w:tr>
    </w:tbl>
    <w:p>
      <w:pPr>
        <w:spacing w:after="0"/>
      </w:pPr>
    </w:p>
    <w:p>
      <w:r>
        <w:t xml:space="preserve">Los prefijos </w:t>
      </w:r>
      <w:r>
        <w:rPr>
          <w:rFonts w:ascii="Menlo" w:hAnsi="Menlo" w:eastAsia="Menlo"/>
          <w:sz w:val="18"/>
        </w:rPr>
        <w:t>RF</w:t>
      </w:r>
      <w:r>
        <w:t xml:space="preserve"> y </w:t>
      </w:r>
      <w:r>
        <w:rPr>
          <w:rFonts w:ascii="Menlo" w:hAnsi="Menlo" w:eastAsia="Menlo"/>
          <w:sz w:val="18"/>
        </w:rPr>
        <w:t>RNF</w:t>
      </w:r>
      <w:r>
        <w:t xml:space="preserve"> identifican requerimientos funcionales y no funcionales. La consolidación agrupa acciones del mismo objetivo, pero no implica que cada requisito deba convertirse en una historia de usuario independiente.</w:t>
      </w:r>
    </w:p>
    <w:p>
      <w:pPr>
        <w:pStyle w:val="Heading1"/>
      </w:pPr>
      <w:r>
        <w:t>3. Sistema web empresarial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ofrecer una página pública informativa y acceso al portal privado, sin exponer inventarios detallados ni información personal o clínica.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permitir iniciar y cerrar sesión y, en el incremento correspondiente, recuperar la contraseña mediante un flujo temporal, seguro y auditable.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gestionar usuarios y asignar perfiles y ámbitos institucionales; durante el primer parcial solo se habilitarán funcionalmente Administrador, Operador de banco de sangre y Auditor, mientras los siete perfiles permanecerán definidos para el alcance completo. Cada usuario deberá visualizar únicamente el perfil, menú y operaciones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gestionar catálogos y parámetros autorizados, incluidos durante el primer parcial instituciones —utilizadas como catálogo de referencia desde la entidad administrada en RF-WEB-005, sin duplicar información— y tipos de componentes sanguíneos, conservando auditoría de los cambios.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registrar y mantener instituciones, sedes, ubicación, contactos, capacidades y estado de participación en la red, como fuente conceptual única de la información institucional utilizada por los demás procesos.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registrar y actualizar donantes con los datos, consentimientos, restricciones y estados pertinentes al tipo de donación.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deberá poder registrar y actualizar receptores o pacientes y su participación en listas o procesos autorizados, sin crear por defecto un acceso directo para el receptor.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 banco de sangre deberá poder registrar unidades sanguíneas ficticias, consultar su inventario, cambiar estados de forma controlada, conservar su historial y visualizar proximidad de caducidad mediante un parámetro demostrativo.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RF-WEB-009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mantener la disponibilidad y viabilidad de órganos mediante un flujo especializado y separado del inventario ordinario de unidades sanguíneas.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RF-WEB-010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deberá poder registrar y dar seguimiento a solicitudes ordinarias y urgentes, asociándolas con receptor, institución, necesidad y urgencia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capturar y consultar pruebas y estudios, diferenciando los aplicables a sangre de los correspondientes a órganos y tejidos.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y el Coordinador regional deberán poder consultar candidatos, compatibilidad y priorización con factores, datos faltantes, versión y explicación, y registrar aceptación, rechazo, reevaluación o excepción justificada.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reservar, asignar, cancelar, liberar o reasignar un recurso mediante confirmación humana y transiciones que eviten la doble asignación.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Coordinador regional deberá poder programar y consultar traslados, incidencias, confirmaciones y eventos de cadena de custodia.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Durante el primer parcial, el sistema web deberá mostrar un panel principal básico para cada perfil inicial, con datos persistidos y accesos acordes con su autorización; posteriormente deberá evolucionar hacia un panel regional con notificaciones, indicadores y gráficas Highcharts.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usuarios autorizados deberán poder generar, filtrar y exportar reportes operativos o regulatorios conforme a formatos previamente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usuarios autorizados deberán poder cargar, consultar y descargar archivos y evidencias mediante referencias controladas al almacenamiento de objetos.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Auditor deberá poder buscar, filtrar y consultar sin modificar la bitácora correspondiente a usuarios, catálogos, unidades y cambios dentro de su ámbito autorizado.</w:t>
            </w:r>
          </w:p>
        </w:tc>
      </w:tr>
    </w:tbl>
    <w:p>
      <w:pPr>
        <w:spacing w:after="0"/>
      </w:pPr>
    </w:p>
    <w:p>
      <w:pPr>
        <w:pStyle w:val="Heading2"/>
      </w:pPr>
      <w:r>
        <w:t>3.2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construirse con Python, Flask, Jinja2, HTML5, CSS3 y JavaScript; las gráficas deberán utilizar Highcharts.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conservar sus funciones propias cuando la aplicación móvil o la aplicación de escritorio no estén disponibles.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interfaz deberá ser responsive, navegable mediante teclado y ofrecer etiquetas, contraste, mensajes, búsqueda, filtros y paginación apropiados para las tareas y navegadores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operaciones demostradas deberán utilizar persistencia real y manejar errores de forma consistente sin revelar secretos, trazas internas o información sensible.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Módulo de microservicios</w:t>
      </w:r>
    </w:p>
    <w:p>
      <w:pPr>
        <w:pStyle w:val="Heading2"/>
      </w:pPr>
      <w:r>
        <w:t>4.1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 donantes y receptores deberán administrar por separado sus registros, estados, datos autorizados, consentimientos y necesidades, sin mezclar sus responsabilidades clínicas.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inventario deberá administrar unidades sanguíneas, disponibilidad, estados y movimientos regionales, preservando un tratamiento especializado para órganos.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compatibilidad deberá ejecutar matching sanguíneo y HLA únicamente con reglas autorizadas y versionadas, señalar información faltante y devolver una explicación auditable.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priorización deberá ordenar candidatos o solicitudes mediante ranking multicriterio, utilizando solo la urgencia registrada por personal autorizado e incorporando, cuando corresponda, resultados autorizados de comparación u optimización por distancia y tiempo; deberá devolver factores, ponderaciones, versión y explicación.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geográfico deberá calcular, comparar u optimizar alternativas por distancia y tiempo estimado, mediante una fuente definida, para apoyar la priorización y la planeación de traslados, conservando procedencia, fecha y limitaciones del cálculo.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 transporte y cadena de custodia deberán gestionar órdenes, estados, incidencias, ubicación autorizada y eventos append-only de recolección y entrega con responsable, tiempo, condición y evidencia.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alertas deberá generar, dirigir, deduplicar y cerrar alertas de urgencia, caducidad, retraso e inconsistencias detectadas en duplicados, estados, secuencias o inventarios.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auditoría deberá recibir y permitir consultar eventos autorizados de autenticación, acceso, cambio, resultados algorítmicos, decisiones y cadena de custodia.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RF-MS-009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módulo deberá pronosticar riesgo de caducidad y sugerir balanceo regional mediante datos históricos o sintéticos, indicando limitaciones y sin ejecutar transferencias automáticamente.</w:t>
            </w:r>
          </w:p>
        </w:tc>
      </w:tr>
    </w:tbl>
    <w:p>
      <w:pPr>
        <w:spacing w:after="0"/>
      </w:pPr>
    </w:p>
    <w:p>
      <w:pPr>
        <w:pStyle w:val="Heading2"/>
      </w:pPr>
      <w:r>
        <w:t>4.2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los microservicios deberán implementarse con Flask y REST versionado, permanecer separados del sistema web, atender responsabilidades justificadas y desplegarse en contenedores independientes.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microservicios deberán producir respuestas tanto en JSON como en XML según el consumidor. Las API deberán documentarse mediante OpenAPI o Swagger y definir autenticación, parámetros, contratos y ejemplos de ambos formatos, códigos HTTP, validaciones y formato uniforme de errores; las respuestas XML deberán validarse mediante XSD donde corresponda.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protegida deberá validar JWT, sesión, revocación y permisos mediante los mecanismos definidos, incluida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deberá aplicar límites configurables y registrar servicio, versión, tiempo, resultado e identificador de correlación sin exponer datos sensibles.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deberán manejar timeouts, dependencias inaccesibles, reintentos seguros e idempotencia donde corresponda, evitando corrupción y fallos en cascada.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algoritmos y flujos críticos deberán medirse con media, p95 y p99 bajo datos y concurrencia documentados; Locust deberá incluir varios perfiles, errores, saturación y recuperación.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Aplicación móvil Android</w:t>
      </w:r>
    </w:p>
    <w:p>
      <w:pPr>
        <w:pStyle w:val="Heading2"/>
      </w:pPr>
      <w:r>
        <w:t>5.1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permitir iniciar, renovar y cerrar sesión mediante JWT, consultar el perfil y mostrar un menú diferenciado entre Donante y Personal de traslado.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enviar un registro preliminar con datos mínimos y consultar su estado pendiente de validación presencial o profesional.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consultar campañas y programar, consultar o cancelar citas conforme a la información publicada.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recibir avisos de elegibilidad o seguimiento emitidos a partir de una decisión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de traslado deberá poder consultar sus órdenes, escanear el recurso asignado y confirmar recolección y entrega con responsable, fecha, ubicación y resultado de verificación.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capturar ubicación y evidencia fotográfica únicamente durante el traslado, evento y periodo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conservar temporalmente operaciones permitidas sin conexión y sincronizarlas al recuperar conectividad, informando conflictos o rechazos.</w:t>
            </w:r>
          </w:p>
        </w:tc>
      </w:tr>
    </w:tbl>
    <w:p>
      <w:pPr>
        <w:spacing w:after="0"/>
      </w:pPr>
    </w:p>
    <w:p>
      <w:pPr>
        <w:pStyle w:val="Heading2"/>
      </w:pPr>
      <w:r>
        <w:t>5.2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se desarrollará para Android en Java o Kotlin, consumirá exclusivamente JSON y utilizará al menos cuatro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dispositivo, los tokens y los datos temporales deberán registrarse y almacenarse de forma segura, eliminarse al cerrar sesión y respetar la finalidad y retención de ubicación y fotografías.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interfaz deberá indicar conectividad, validar formularios y manejar errores y sincronización sin perder silenciosamente información capturada.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incorporar al menos dos capacidades pertinentes del dispositivo y evaluar mediante tareas los flujos de Donante y Personal de traslado.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Aplicación de escritorio</w:t>
      </w:r>
    </w:p>
    <w:p>
      <w:pPr>
        <w:pStyle w:val="Heading2"/>
      </w:pPr>
      <w:r>
        <w:t>6.1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permitir iniciar y cerrar sesión mediante JWT y mostrar las operaciones autorizadas para Operador de banco de sangre y Coordinador regional.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registrar y actualizar unidades y gestionar inventario, movimientos, estados y alertas mediante los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capturar y consultar pruebas con estado, responsable y revisión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consultar compatibilidad y priorización explicables y registrar aceptación, rechazo, reevaluación o excepción sin alterar el cálculo original.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imprimir etiquetas mediante una plantilla o codificación previamente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registrar y consultar eventos de cadena de custodia mediante los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consultar tablas, buscar, filtrar, generar y exportar reportes operativos o regulatorios en los formatos definidos.</w:t>
            </w:r>
          </w:p>
        </w:tc>
      </w:tr>
    </w:tbl>
    <w:p>
      <w:pPr>
        <w:spacing w:after="0"/>
      </w:pPr>
    </w:p>
    <w:p>
      <w:pPr>
        <w:pStyle w:val="Heading2"/>
      </w:pPr>
      <w:r>
        <w:t>6.2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tecnología deberá seleccionarse entre las opciones autorizadas y la aplicación deberá operar desacoplada de las vistas y sesiones internas del sistema web.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consumir exclusivamente XML validado mediante XSD, protegerse contra XXE y utilizar al menos cuatro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validar sesión y permisos mediante servicios y manejar errores de autenticación, contrato y red sin perder silenciosamente formularios.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flujos repetitivos de captura, consulta, exportación e impresión deberán evaluarse mediante tareas de usabilidad para los perfiles internos.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Bases de datos y almacenamiento</w:t>
      </w:r>
    </w:p>
    <w:p>
      <w:pPr>
        <w:pStyle w:val="Heading2"/>
      </w:pPr>
      <w:r>
        <w:t>7.1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PostgreSQL deberá persistir instituciones, usuarios, permisos, catálogos, inventario, estados y auditoría básica, incluir datos ficticios iniciales y ampliar posteriormente los datos estructurados aprobados.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MongoDB deberá almacenar documentos flexibles, telemetría, historiales extensos o resultados semiestructurados cuyo modelo documental esté justificado.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Redis deberá administrar sesiones, revocaciones, permisos temporales, rate limiting, caché autorizada, bloqueos, contadores y datos temporales con expiración definida.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Google Cloud Storage deberá almacenar evidencias, documentos, reportes e imágenes, conservando en las bases únicamente referencias y metadatos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registros de auditoría y custodia deberán conservar identificadores, actor, tiempo, acción, entidad, resultado y datos mínimos necesarios para reconstruir cada evento.</w:t>
            </w:r>
          </w:p>
        </w:tc>
      </w:tr>
    </w:tbl>
    <w:p>
      <w:pPr>
        <w:spacing w:after="0"/>
      </w:pPr>
    </w:p>
    <w:p>
      <w:pPr>
        <w:pStyle w:val="Heading2"/>
      </w:pPr>
      <w:r>
        <w:t>7.2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clientes no deberán acceder directamente a los almacenes y la distribución deberá definir un único propietario autoritativo para cada dato.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reservas y asignaciones deberán utilizar transacciones, restricciones o bloqueos que impidan estados contradictorios y doble asignación.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archivos grandes no deberán almacenarse en bases de datos y los objetos privados deberán entregarse mediante URLs firmadas con vigencia limitada.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almacén deberá definir claves, restricciones, índices, crecimiento, retención, eliminación lógica, segregación, respaldo y restauración; las pruebas deberán medir volumen, caché y consumo de recursos.</w:t>
            </w:r>
          </w:p>
        </w:tc>
      </w:tr>
    </w:tbl>
    <w:p>
      <w:pPr>
        <w:spacing w:after="0"/>
      </w:pPr>
    </w:p>
    <w:p>
      <w:pPr>
        <w:pStyle w:val="Heading1"/>
      </w:pPr>
      <w:r>
        <w:t>8. Infraestructura e integración</w:t>
      </w:r>
    </w:p>
    <w:p>
      <w:pPr>
        <w:pStyle w:val="Heading2"/>
      </w:pPr>
      <w:r>
        <w:t>8.1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repositorio deberá documentar estrategia de ramas, incidencias, tablero, estándares de codificación y convenciones de nombres.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componente deberá declarar dependencias y variables de entorno sin almacenar secretos o valores reales en el repositorio.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los componentes desplegables deberán contar con Dockerfile y Docker Compose deberá reproducir el entorno local con PostgreSQL, MongoDB y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distribución en Google Compute Engine deberá documentar web, microservicios, datos, archivos y monitoreo, utilizando redes privadas, firewall, puertos mínimos y comunicaciones cifradas.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integración continua deberá ejecutar validaciones y permitir desplegar componentes independientes sin exigir el despliegue simultáneo de toda la plataforma.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plataforma deberá demostrar al menos tres procesos integrales y, en uno de ellos, la consulta coherente desde distintos clientes respetando JSON para móvil y XML para escritorio.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Ante una falla parcial, la plataforma deberá detectarla, registrarla, evitar corrupción y recuperar la operación cuando la dependencia se restablezca.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incremento deberá aportar pruebas proporcionales al riesgo: unitarias, integración, sistema, regresión, extremo a extremo, contratos, autenticación, fallos, concurrencia, archivos, datos masivos, seguridad y usabilidad.</w:t>
            </w:r>
          </w:p>
        </w:tc>
      </w:tr>
    </w:tbl>
    <w:p>
      <w:pPr>
        <w:spacing w:after="0"/>
      </w:pPr>
    </w:p>
    <w:p>
      <w:pPr>
        <w:pStyle w:val="Heading1"/>
      </w:pPr>
      <w:r>
        <w:t>9. Seguridad y privacidad</w:t>
      </w:r>
    </w:p>
    <w:p>
      <w:pPr>
        <w:pStyle w:val="Heading2"/>
      </w:pPr>
      <w:r>
        <w:t>9.1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componente de seguridad deberá autenticar usuarios y emitir, renovar, rotar, expirar y revocar tokens y sesiones mediante los mecanismos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asignar perfiles y ámbitos institucionales sin otorgar facultades clínicas adicionales.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deberá registrar intentos fallidos y auditar autenticaciones, accesos sensibles, permisos, operaciones críticas, resultados algorítmicos, aprobaciones y anulaciones.</w:t>
            </w:r>
          </w:p>
        </w:tc>
      </w:tr>
    </w:tbl>
    <w:p>
      <w:pPr>
        <w:spacing w:after="0"/>
      </w:pPr>
    </w:p>
    <w:p>
      <w:pPr>
        <w:pStyle w:val="Heading2"/>
      </w:pPr>
      <w:r>
        <w:t>9.2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 el primer parcial, las contraseñas deberán usar hash seguro y los JWT de acceso deberán tener expiración definida. A partir del segundo parcial, los tokens de renovación deberán rotarse o aplicar un control equivalente y la sesión y revocación deberán validarse mediante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protegida deberá aplicar mínimo privilegio y validar rol, acción, recurso y ámbito institucional.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Las consultas deberán ser parametrizadas y las entradas JSON, XML, formularios y archivos deberán validarse, incluyendo protección contra inyección y XXE.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endpoints deberán aplicar rate limiting, registrar intentos fallidos y realizar bloqueo temporal conforme al riesgo configurado.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Las comunicaciones deberán cifrarse y los secretos deberán mantenerse fuera del código y de archivos versionados.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Interfaces, respuestas, logs y errores deberán minimizar u ocultar datos personales, clínicos, ubicación, fotografías, tokens y secretos.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ubicación y las fotografías deberán limitarse a perfiles, finalidades, traslados y periodos autorizados y eliminarse localmente cuando dejen de ser necesarias.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políticas de consentimiento, retención, bloqueo, eliminación e intercambio interinstitucional deberán validarse antes de utilizar datos reales.</w:t>
            </w:r>
          </w:p>
        </w:tc>
      </w:tr>
    </w:tbl>
    <w:p>
      <w:pPr>
        <w:spacing w:after="0"/>
      </w:pPr>
    </w:p>
    <w:p>
      <w:pPr>
        <w:pStyle w:val="Heading1"/>
      </w:pPr>
      <w:r>
        <w:t>10. Monitoreo y observabilidad</w:t>
      </w:r>
    </w:p>
    <w:p>
      <w:pPr>
        <w:pStyle w:val="Heading2"/>
      </w:pPr>
      <w:r>
        <w:t>10.1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monitoreo deberá consultar periódicamente los endpoints de salud, incluidos proceso y dependencias aplicables de base de datos, Redis, MongoDB y Storage.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panel deberá mostrar servicios disponibles, degradados o caídos, tiempo promedio, último error, dependencia causante, versión, fecha de verificación y número de errores.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deberá conservar y permitir consultar el historial de disponibilidad y cambios de estado.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deberá generar avisos de caída, degradación y recuperación dirigidos a los responsables configurados.</w:t>
            </w:r>
          </w:p>
        </w:tc>
      </w:tr>
    </w:tbl>
    <w:p>
      <w:pPr>
        <w:spacing w:after="0"/>
      </w:pPr>
    </w:p>
    <w:p>
      <w:pPr>
        <w:pStyle w:val="Heading2"/>
      </w:pPr>
      <w:r>
        <w:t>10.2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health checks deberán distinguir proceso detenido, dependencia inaccesible, respuesta inválida y timeout mediante estados diferenciados.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indisponibilidad del monitoreo no deberá detener las operaciones propias de los componentes supervisados.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Logs y métricas deberán ser centralizables, usar timestamps e identificadores de correlación y no almacenar datos clínicos o secretos innecesarios.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funcionales y no funcionales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