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8" w:space="6" w:color="9FBAD0"/>
        </w:pBdr>
      </w:pPr>
      <w:r>
        <w:t>Casos de uso principales</w:t>
      </w:r>
    </w:p>
    <w:p>
      <w:pPr>
        <w:spacing w:after="180"/>
      </w:pPr>
      <w:r>
        <w:rPr>
          <w:i/>
        </w:rPr>
        <w:t>Revisión documental — 14 de octubre de 2026: documento de referencia para el alcance y la planificación del semestre. Las fases y fechas originales expresan la secuencia prevista, no el estado de implementación. El portal integrado, los microservicios, PostgreSQL, MongoDB y Redis ya tienen operación local; Android, escritorio, Docker y GCP siguen pendientes. PROJECT_STATUS.md registra el avance comprobado. La arquitectura ejecutable se describe en documentation/markdowns/Arquitectura.md y la persistencia en documentation/markdowns/Datos_y_persistencia.md. El reporte integral de septiembre conserva una entrega anterior.</w:t>
      </w:r>
    </w:p>
    <w:tbl>
      <w:tblPr>
        <w:tblStyle w:val="TableGrid"/>
        <w:tblW w:type="dxa" w:w="10224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Proyecto:</w:t>
            </w:r>
            <w:r>
              <w:rPr>
                <w:sz w:val="20"/>
              </w:rPr>
              <w:t xml:space="preserve"> Red regional de bancos de sangre y donación de órganos — Equipo 01.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Estado:</w:t>
            </w:r>
            <w:r>
              <w:rPr>
                <w:sz w:val="20"/>
              </w:rPr>
              <w:t xml:space="preserve"> línea base documental del alcance completo.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Fecha:</w:t>
            </w:r>
            <w:r>
              <w:rPr>
                <w:sz w:val="20"/>
              </w:rPr>
              <w:t xml:space="preserve"> 7 de septiembre de 2026.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Cobertura:</w:t>
            </w:r>
            <w:r>
              <w:rPr>
                <w:sz w:val="20"/>
              </w:rPr>
              <w:t xml:space="preserve"> quince casos de uso principales, con implementación gradual por parciales e incrementos.</w:t>
            </w:r>
          </w:p>
        </w:tc>
      </w:tr>
    </w:tbl>
    <w:p>
      <w:pPr>
        <w:spacing w:after="0"/>
      </w:pPr>
    </w:p>
    <w:p>
      <w:pPr>
        <w:pStyle w:val="Heading1"/>
      </w:pPr>
      <w:r>
        <w:t>1. Propósito y alcance</w:t>
      </w:r>
    </w:p>
    <w:p>
      <w:r>
        <w:t>Este documento describe las interacciones principales entre los actores y la plataforma regional. Los casos de uso cubren el sistema web, los microservicios, la aplicación móvil Android, la aplicación de escritorio, los almacenes de datos, la seguridad y el monitoreo, sin convertir cada requisito o cada pantalla en un caso independiente.</w:t>
      </w:r>
    </w:p>
    <w:p>
      <w:r>
        <w:t>El alcance corresponde al proyecto completo. Los casos identificados para el primer parcial delimitan el producto mínimo funcional; los casos posteriores permanecen documentados para orientar los siguientes incrementos. La plataforma proporciona coordinación y apoyo a decisiones, pero no sustituye la evaluación médica, ética o normativa ni confirma automáticamente decisiones que requieran intervención humana autorizada.</w:t>
      </w:r>
    </w:p>
    <w:p>
      <w:r>
        <w:t>Los flujos clínicos o regulatorios se ejecutarán con datos ficticios y reglas demostrativas mientras no existan fuentes vigentes y validación competente. Los flujos distinguen expresamente la sangre de los órganos y no establecen fórmulas, ponderaciones, tiempos de conservación ni reglas de compatibilidad no documentadas.</w:t>
      </w:r>
    </w:p>
    <w:p>
      <w:pPr>
        <w:pStyle w:val="Heading1"/>
      </w:pPr>
      <w:r>
        <w:t>2. Convenciones y condiciones comunes</w:t>
      </w:r>
    </w:p>
    <w:p>
      <w:pPr>
        <w:pStyle w:val="Heading2"/>
      </w:pPr>
      <w:r>
        <w:t>2.1 Identificación y fases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Convención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Identificador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Menlo" w:hAnsi="Menlo" w:eastAsia="Menlo"/>
                <w:sz w:val="19"/>
              </w:rPr>
              <w:t>CU-01</w:t>
            </w:r>
            <w:r>
              <w:rPr>
                <w:sz w:val="19"/>
              </w:rPr>
              <w:t xml:space="preserve"> a </w:t>
            </w:r>
            <w:r>
              <w:rPr>
                <w:rFonts w:ascii="Menlo" w:hAnsi="Menlo" w:eastAsia="Menlo"/>
                <w:sz w:val="19"/>
              </w:rPr>
              <w:t>CU-15</w:t>
            </w:r>
            <w:r>
              <w:rPr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Caso implementado total o parcialmente dentro del producto mínimo funcional web.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Caso perteneciente al alcance completo que se implementará en los incrementos posteriores.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Transversal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Caso o control que inicia en el primer parcial y evoluciona durante el semestre.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Flujo principal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Secuencia esperada cuando se satisfacen permisos, datos y reglas aplicables.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Flujo alterno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Condición válida, rechazo o falla que modifica el recorrido sin cambiar el propósito del caso.</w:t>
            </w:r>
          </w:p>
        </w:tc>
      </w:tr>
    </w:tbl>
    <w:p>
      <w:pPr>
        <w:spacing w:after="0"/>
      </w:pPr>
    </w:p>
    <w:p>
      <w:pPr>
        <w:pStyle w:val="Heading2"/>
      </w:pPr>
      <w:r>
        <w:t>2.2 Actores considerados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Participación general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Administrador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Gestiona identidad, instituciones, catálogos y supervisión técnica autorizada, sin adquirir facultades clínicas.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Mantiene unidades, inventario, pruebas capturadas, etiquetas y eventos operativos dentro de su institución.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Personal médico autorizado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Registra receptores, solicitudes, urgencia confirmada y decisiones clínicas permitidas dentro de su acreditación y ámbito.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Coordinador regional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Coordina disponibilidad, revisión de alternativas, asignaciones, traslados e información regional minimizada.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Personal de traslado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Ejecuta órdenes propias, escanea recursos y registra recolección, entrega, ubicación o evidencia autorizada.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Donante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Gestiona su registro preliminar, campañas, citas y avisos propios desde la aplicación móvil.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Auditor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Consulta trazabilidad y evidencia de solo lectura dentro del ámbito autorizado.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Público general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Consulta únicamente información pública; no constituye un perfil privado.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Receptor o paciente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Es sujeto protegido de información; no dispone de acceso directo en el alcance definido.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Institución participante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Determina el ámbito organizacional y actúa como origen o destino de procesos, pero no constituye un perfil.</w:t>
            </w:r>
          </w:p>
        </w:tc>
      </w:tr>
    </w:tbl>
    <w:p>
      <w:pPr>
        <w:spacing w:after="0"/>
      </w:pPr>
    </w:p>
    <w:p>
      <w:pPr>
        <w:pStyle w:val="Heading2"/>
      </w:pPr>
      <w:r>
        <w:t>2.3 Condiciones transversales</w:t>
      </w:r>
    </w:p>
    <w:p>
      <w:pPr>
        <w:spacing w:after="60"/>
        <w:ind w:left="360" w:hanging="259"/>
      </w:pPr>
      <w:r>
        <w:t>1. Toda operación protegida valida identidad, sesión, revocación, perfil, acción, recurso y ámbito institucional.</w:t>
      </w:r>
    </w:p>
    <w:p>
      <w:pPr>
        <w:spacing w:after="60"/>
        <w:ind w:left="360" w:hanging="259"/>
      </w:pPr>
      <w:r>
        <w:t>2. Ninguna aplicación cliente accede directamente a PostgreSQL, MongoDB, Redis o Google Cloud Storage.</w:t>
      </w:r>
    </w:p>
    <w:p>
      <w:pPr>
        <w:spacing w:after="60"/>
        <w:ind w:left="360" w:hanging="259"/>
      </w:pPr>
      <w:r>
        <w:t>3. Los cambios aceptados utilizan persistencia real y generan auditoría proporcional a su sensibilidad.</w:t>
      </w:r>
    </w:p>
    <w:p>
      <w:pPr>
        <w:spacing w:after="60"/>
        <w:ind w:left="360" w:hanging="259"/>
      </w:pPr>
      <w:r>
        <w:t>4. Los datos personales, clínicos, logísticos, de ubicación y de evidencia se minimizan en interfaces, respuestas, archivos y registros técnicos.</w:t>
      </w:r>
    </w:p>
    <w:p>
      <w:pPr>
        <w:spacing w:after="60"/>
        <w:ind w:left="360" w:hanging="259"/>
      </w:pPr>
      <w:r>
        <w:t>5. Los resultados de compatibilidad, priorización, distancia, pronóstico o balanceo conservan versión, factores y explicación, y no ejecutan por sí mismos una decisión clínica o asignación.</w:t>
      </w:r>
    </w:p>
    <w:p>
      <w:pPr>
        <w:spacing w:after="60"/>
        <w:ind w:left="360" w:hanging="259"/>
      </w:pPr>
      <w:r>
        <w:t>6. Los procesos de sangre y de órganos mantienen datos, estados, reglas, pruebas, tiempos y responsables diferenciados.</w:t>
      </w:r>
    </w:p>
    <w:p>
      <w:pPr>
        <w:spacing w:after="60"/>
        <w:ind w:left="360" w:hanging="259"/>
      </w:pPr>
      <w:r>
        <w:t>7. Una falla no confirma una operación cuando no puede garantizarse su consistencia; el error se registra y se presenta de forma segura.</w:t>
      </w:r>
    </w:p>
    <w:p>
      <w:pPr>
        <w:pStyle w:val="Heading1"/>
      </w:pPr>
      <w:r>
        <w:t>3. Catálogo de casos de uso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880"/>
        <w:gridCol w:w="2304"/>
        <w:gridCol w:w="1512"/>
        <w:gridCol w:w="2664"/>
      </w:tblGrid>
      <w:tr>
        <w:trPr>
          <w:tblHeader w:val="true"/>
          <w:cantSplit/>
        </w:trPr>
        <w:tc>
          <w:tcPr>
            <w:tcW w:type="dxa" w:w="86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30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Actor principal</w:t>
            </w:r>
          </w:p>
        </w:tc>
        <w:tc>
          <w:tcPr>
            <w:tcW w:type="dxa" w:w="1512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66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CU-01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Consultar información pública y acceder a la plataforma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Público general; usuario registrado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Contenido público seguro o sesión válida con menú autorizado.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CU-02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Administrar usuarios, perfiles y ámbitos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Cuentas y autorizaciones vigentes y auditadas.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CU-03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Administrar instituciones, sedes y catálogos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Fuente institucional única y catálogos controlados.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CU-04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Gestionar disponibilidad de sangre y órganos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Operador; Personal médico autorizado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Inventario sanguíneo o disponibilidad de órganos actualizados mediante flujos diferenciados.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CU-05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Gestionar la participación del donante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Donante; personal autorizado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Registro preliminar, expediente, campaña, cita y avisos vinculados sin elegibilidad automática.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CU-06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Registrar un receptor y gestionar su solicitud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Personal médico autorizado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Receptor y solicitud completa con urgencia autorizada e historial.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CU-07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Capturar y revisar pruebas o estudios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Operador; Personal médico autorizado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Resultado identificado, protegido, revisable y no concluyente por sí solo.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CU-08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Evaluar compatibilidad y priorización explicables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Personal médico autorizado; Coordinador regional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Candidatos y ranking explicables para revisión humana.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CU-09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Autorizar y controlar una asignación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Coordinador regional; autoridad humana aplicable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Recurso reservado o asignado sin duplicidad y con decisión trazable.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CU-10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Planear y programar un traslado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Coordinador regional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Orden de traslado con ruta, responsables y estado.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CU-11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Ejecutar traslado y documentar cadena de custodia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Personal de traslado; Operador; Coordinador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Eventos secuenciales, evidencia privada y sincronización controlada.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CU-12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Supervisar paneles, alertas y pronósticos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Usuario autorizado según información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Situación operativa visible sin ejecutar decisiones automáticas.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CU-13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Generar reportes y gestionar evidencia documental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Operador; Coordinador; Auditor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Reporte o archivo autorizado, minimizado y auditable.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CU-14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Consultar auditoría y trazabilidad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Auditor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Reconstrucción de eventos sin modificar el historial.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enlo" w:hAnsi="Menlo" w:eastAsia="Menlo"/>
                <w:b/>
                <w:color w:val="991B1B"/>
                <w:sz w:val="18"/>
              </w:rPr>
              <w:t>CU-15</w:t>
            </w:r>
          </w:p>
        </w:tc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Supervisar salud y disponibilidad técnica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15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Posterior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Estado e historial de servicios, dependencias e incidentes.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4. Casos de uso del núcleo inicial y transversal</w:t>
      </w:r>
    </w:p>
    <w:p>
      <w:pPr>
        <w:pStyle w:val="Heading2"/>
      </w:pPr>
      <w:r>
        <w:t>4.1 CU-01 — Consultar información pública y acceder a la plataforma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Público general o usuario registrado, conforme al canal habilitado.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Servicio de identidad; Administrador para la habilitación de cuentas.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Transversal: sitio público, inicio y cierre en el primer parcial; recuperación y clientes adicionales posteriormente.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web; posteriormente microservicios, aplicación móvil y aplicación de escritorio; Redis se incorpora a partir del segundo parcial.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Una persona abre el sitio público o solicita iniciar, cerrar o recuperar una sesión.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Para el acceso privado, la cuenta, el perfil y el ámbito deben encontrarse activos.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El visitante permanece en contenido público o el usuario obtiene una sesión válida y auditable; el cierre invalida las credenciales aplicables.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La plataforma presenta información pública autorizada y un acceso visible al portal privado.</w:t>
      </w:r>
    </w:p>
    <w:p>
      <w:pPr>
        <w:spacing w:after="60"/>
        <w:ind w:left="360" w:hanging="259"/>
      </w:pPr>
      <w:r>
        <w:t>2. El usuario proporciona sus credenciales mediante el canal habilitado.</w:t>
      </w:r>
    </w:p>
    <w:p>
      <w:pPr>
        <w:spacing w:after="60"/>
        <w:ind w:left="360" w:hanging="259"/>
      </w:pPr>
      <w:r>
        <w:t>3. El componente de identidad valida credenciales, estado de cuenta, sesión, perfil y ámbito sin revelar cuál dato falló.</w:t>
      </w:r>
    </w:p>
    <w:p>
      <w:pPr>
        <w:spacing w:after="60"/>
        <w:ind w:left="360" w:hanging="259"/>
      </w:pPr>
      <w:r>
        <w:t>4. La plataforma emite las credenciales de sesión definidas y registra el resultado de autenticación sin almacenar secretos ni tokens completos.</w:t>
      </w:r>
    </w:p>
    <w:p>
      <w:pPr>
        <w:spacing w:after="60"/>
        <w:ind w:left="360" w:hanging="259"/>
      </w:pPr>
      <w:r>
        <w:t>5. El canal muestra únicamente el menú, panel y operaciones autorizados para el perfil vigente.</w:t>
      </w:r>
    </w:p>
    <w:p>
      <w:pPr>
        <w:spacing w:after="60"/>
        <w:ind w:left="360" w:hanging="259"/>
      </w:pPr>
      <w:r>
        <w:t>6. Cuando el usuario cierra sesión, la plataforma revoca o invalida la sesión y elimina las credenciales locales que correspondan.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Si la cuenta es inválida, inactiva, está temporalmente bloqueada o la sesión expiró, se deniega el acceso mediante un mensaje genérico y auditable.</w:t>
      </w:r>
    </w:p>
    <w:p>
      <w:pPr>
        <w:pStyle w:val="ListBullet"/>
      </w:pPr>
      <w:r>
        <w:t>Si el token fue revocado o no autoriza la operación solicitada, el canal interrumpe el flujo privado y solicita recuperar una sesión válida.</w:t>
      </w:r>
    </w:p>
    <w:p>
      <w:pPr>
        <w:pStyle w:val="ListBullet"/>
      </w:pPr>
      <w:r>
        <w:t>La recuperación de acceso, cuando se implemente, utilizará un mecanismo temporal y de un solo uso sin revelar la existencia de una cuenta.</w:t>
      </w:r>
    </w:p>
    <w:p>
      <w:pPr>
        <w:pStyle w:val="ListBullet"/>
      </w:pPr>
      <w:r>
        <w:t>A partir del segundo parcial, una falla de Redis o del servicio de identidad no permitirá confirmar una nueva operación protegida cuya autorización no pueda comprobarse.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RF-WEB-001, RF-WEB-002, RF-MOV-001, RF-DESK-001, RF-SEC-001, RF-SEC-003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RNF-MS-003, RNF-MOV-002, RNF-MOV-003, RNF-DESK-003, RNF-SEC-001, RNF-SEC-002, RNF-SEC-004, RNF-SEC-005, RNF-SEC-006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HU-WEB-001, HU-WEB-002, HU-MOV-001, HU-DESK-001, HE-SEC-001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RN-ACC-002, RN-ACC-004, RN-COM-005</w:t>
            </w:r>
          </w:p>
        </w:tc>
      </w:tr>
    </w:tbl>
    <w:p>
      <w:pPr>
        <w:spacing w:after="0"/>
      </w:pPr>
    </w:p>
    <w:p>
      <w:pPr>
        <w:pStyle w:val="Heading2"/>
      </w:pPr>
      <w:r>
        <w:t>4.2 CU-02 — Administrar usuarios, perfiles y ámbitos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Administrador.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 cuya cuenta se administra; servicio de identidad.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 y mantenimiento transversal.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web; seguridad; PostgreSQL; Redis desde el segundo parcial cuando corresponda a sesiones o permisos temporales.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El Administrador necesita crear, consultar, actualizar, activar o desactivar una cuenta o su asignación.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El Administrador mantiene una sesión válida y permiso administrativo dentro de su ámbito.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La cuenta, el perfil y el ámbito quedan actualizados; el cambio conserva responsable, fecha y resultado.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Administrador consulta las cuentas pertenecientes a su ámbito autorizado.</w:t>
      </w:r>
    </w:p>
    <w:p>
      <w:pPr>
        <w:spacing w:after="60"/>
        <w:ind w:left="360" w:hanging="259"/>
      </w:pPr>
      <w:r>
        <w:t>2. Selecciona una cuenta existente o inicia un alta y captura los datos administrativos permitidos.</w:t>
      </w:r>
    </w:p>
    <w:p>
      <w:pPr>
        <w:spacing w:after="60"/>
        <w:ind w:left="360" w:hanging="259"/>
      </w:pPr>
      <w:r>
        <w:t>3. Asigna uno de los perfiles habilitados para el incremento y el ámbito institucional correspondiente.</w:t>
      </w:r>
    </w:p>
    <w:p>
      <w:pPr>
        <w:spacing w:after="60"/>
        <w:ind w:left="360" w:hanging="259"/>
      </w:pPr>
      <w:r>
        <w:t>4. La plataforma valida campos obligatorios, unicidad, estado de la institución y límites de autorización del Administrador.</w:t>
      </w:r>
    </w:p>
    <w:p>
      <w:pPr>
        <w:spacing w:after="60"/>
        <w:ind w:left="360" w:hanging="259"/>
      </w:pPr>
      <w:r>
        <w:t>5. El Administrador confirma la operación y el sistema persiste el cambio.</w:t>
      </w:r>
    </w:p>
    <w:p>
      <w:pPr>
        <w:spacing w:after="60"/>
        <w:ind w:left="360" w:hanging="259"/>
      </w:pPr>
      <w:r>
        <w:t>6. Los permisos efectivos y sesiones afectadas se actualizan conforme a la política definida.</w:t>
      </w:r>
    </w:p>
    <w:p>
      <w:pPr>
        <w:spacing w:after="60"/>
        <w:ind w:left="360" w:hanging="259"/>
      </w:pPr>
      <w:r>
        <w:t>7. La plataforma registra el cambio en la bitácora y presenta el resultado sin exponer datos sensibles innecesarios.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Durante el primer parcial solo se habilitan funcionalmente Administrador, Operador de banco de sangre y Auditor, aunque los siete perfiles permanezcan definidos.</w:t>
      </w:r>
    </w:p>
    <w:p>
      <w:pPr>
        <w:pStyle w:val="ListBullet"/>
      </w:pPr>
      <w:r>
        <w:t>Una solicitud fuera del ámbito del Administrador se deniega aunque conozca el identificador de la cuenta.</w:t>
      </w:r>
    </w:p>
    <w:p>
      <w:pPr>
        <w:pStyle w:val="ListBullet"/>
      </w:pPr>
      <w:r>
        <w:t>La asignación de un perfil clínico posterior no concede por sí misma una acreditación profesional.</w:t>
      </w:r>
    </w:p>
    <w:p>
      <w:pPr>
        <w:pStyle w:val="ListBullet"/>
      </w:pPr>
      <w:r>
        <w:t>Si una cuenta posee historial, la desactivación conserva sus relaciones y no elimina las operaciones anteriores.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RF-WEB-003, RF-SEC-002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RNF-WEB-004, RNF-DAT-001, RNF-SEC-002, RNF-SEC-006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HU-WEB-003, HE-SEC-001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RN-ACC-001, RN-ACC-002, RN-ACC-003</w:t>
            </w:r>
          </w:p>
        </w:tc>
      </w:tr>
    </w:tbl>
    <w:p>
      <w:pPr>
        <w:spacing w:after="0"/>
      </w:pPr>
    </w:p>
    <w:p>
      <w:pPr>
        <w:pStyle w:val="Heading2"/>
      </w:pPr>
      <w:r>
        <w:t>4.3 CU-03 — Administrar instituciones, sedes y catálogos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Administrador.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Institución participante.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parcial, con ampliación posterior de catálogos.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web; PostgreSQL; auditoría.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 requiere incorporar, actualizar o inactivar información administrativa utilizada por los procesos.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El Administrador posee permiso sobre el ámbito correspondiente.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La institución o valor de catálogo queda persistido como registro vigente o inactivo, sin romper referencias históricas.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Administrador selecciona la administración de instituciones, sedes o catálogos permitidos.</w:t>
      </w:r>
    </w:p>
    <w:p>
      <w:pPr>
        <w:spacing w:after="60"/>
        <w:ind w:left="360" w:hanging="259"/>
      </w:pPr>
      <w:r>
        <w:t>2. La plataforma consulta la fuente institucional única o el catálogo correspondiente con búsqueda y filtros.</w:t>
      </w:r>
    </w:p>
    <w:p>
      <w:pPr>
        <w:spacing w:after="60"/>
        <w:ind w:left="360" w:hanging="259"/>
      </w:pPr>
      <w:r>
        <w:t>3. El Administrador captura o modifica los datos autorizados, incluidos ubicación, contactos, capacidades declaradas y estado cuando apliquen.</w:t>
      </w:r>
    </w:p>
    <w:p>
      <w:pPr>
        <w:spacing w:after="60"/>
        <w:ind w:left="360" w:hanging="259"/>
      </w:pPr>
      <w:r>
        <w:t>4. El sistema valida obligatoriedad, formato, posibles duplicados, unicidad y referencias activas.</w:t>
      </w:r>
    </w:p>
    <w:p>
      <w:pPr>
        <w:spacing w:after="60"/>
        <w:ind w:left="360" w:hanging="259"/>
      </w:pPr>
      <w:r>
        <w:t>5. El Administrador confirma y la plataforma persiste la operación.</w:t>
      </w:r>
    </w:p>
    <w:p>
      <w:pPr>
        <w:spacing w:after="60"/>
        <w:ind w:left="360" w:hanging="259"/>
      </w:pPr>
      <w:r>
        <w:t>6. Los demás procesos utilizan la institución registrada como referencia y no mantienen una copia conceptual independiente.</w:t>
      </w:r>
    </w:p>
    <w:p>
      <w:pPr>
        <w:spacing w:after="60"/>
        <w:ind w:left="360" w:hanging="259"/>
      </w:pPr>
      <w:r>
        <w:t>7. El cambio queda registrado con actor, fecha, entidad y resultado.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Si existe un posible duplicado, la plataforma solicita revisar el registro encontrado antes de crear otro.</w:t>
      </w:r>
    </w:p>
    <w:p>
      <w:pPr>
        <w:pStyle w:val="ListBullet"/>
      </w:pPr>
      <w:r>
        <w:t>Un valor referenciado por operaciones anteriores se inactiva en lugar de eliminarse de forma destructiva.</w:t>
      </w:r>
    </w:p>
    <w:p>
      <w:pPr>
        <w:pStyle w:val="ListBullet"/>
      </w:pPr>
      <w:r>
        <w:t>Un parámetro demostrativo se identifica como tal y no se presenta como regla clínica autorizada.</w:t>
      </w:r>
    </w:p>
    <w:p>
      <w:pPr>
        <w:pStyle w:val="ListBullet"/>
      </w:pPr>
      <w:r>
        <w:t>Desactivar una institución impide nuevas operaciones según las reglas aplicables, pero conserva historial y relaciones existentes.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RF-WEB-004, RF-WEB-005, RF-DAT-001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RNF-WEB-003, RNF-WEB-004, RNF-DAT-004, RNF-SEC-002, RNF-SEC-003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HU-WEB-004, HU-WEB-005, HE-DAT-001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RN-GOB-003, RN-ACC-005, RN-ACC-006</w:t>
            </w:r>
          </w:p>
        </w:tc>
      </w:tr>
    </w:tbl>
    <w:p>
      <w:pPr>
        <w:spacing w:after="0"/>
      </w:pPr>
    </w:p>
    <w:p>
      <w:pPr>
        <w:pStyle w:val="Heading2"/>
      </w:pPr>
      <w:r>
        <w:t>4.4 CU-04 — Gestionar disponibilidad de sangre y órganos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 para unidades sanguíneas; Personal médico autorizado para órganos.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Administrador para catálogos; Coordinador regional para consulta autorizada.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 para inventario sanguíneo ficticio; posterior para órganos y operación distribuida.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web; posteriormente microservicio de inventario y aplicación de escritorio; PostgreSQL y auditoría.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 registra un recurso o debe consultarse o actualizarse su disponibilidad.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Institución y catálogos vigentes; actor autorizado; para cambios avanzados, pruebas o validaciones requeridas disponibles.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El estado autoritativo del recurso y su historial quedan actualizados mediante el flujo correspondiente.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actor selecciona expresamente el proceso de sangre o el proceso especializado de órganos.</w:t>
      </w:r>
    </w:p>
    <w:p>
      <w:pPr>
        <w:spacing w:after="60"/>
        <w:ind w:left="360" w:hanging="259"/>
      </w:pPr>
      <w:r>
        <w:t>2. Para sangre, registra o consulta la unidad con identificador único, institución, ubicación, componente, fechas y estado; para órganos, captura únicamente disponibilidad, viabilidad y datos autorizados del flujo especializado.</w:t>
      </w:r>
    </w:p>
    <w:p>
      <w:pPr>
        <w:spacing w:after="60"/>
        <w:ind w:left="360" w:hanging="259"/>
      </w:pPr>
      <w:r>
        <w:t>3. La plataforma valida campos, duplicados, referencias y transición solicitada sin mezclar reglas entre tipos de recurso.</w:t>
      </w:r>
    </w:p>
    <w:p>
      <w:pPr>
        <w:spacing w:after="60"/>
        <w:ind w:left="360" w:hanging="259"/>
      </w:pPr>
      <w:r>
        <w:t>4. En el inventario sanguíneo del primer parcial se calcula la proximidad de caducidad mediante el parámetro demostrativo visible.</w:t>
      </w:r>
    </w:p>
    <w:p>
      <w:pPr>
        <w:spacing w:after="60"/>
        <w:ind w:left="360" w:hanging="259"/>
      </w:pPr>
      <w:r>
        <w:t>5. El actor confirma la operación y la plataforma persiste el nuevo estado y el movimiento correspondiente.</w:t>
      </w:r>
    </w:p>
    <w:p>
      <w:pPr>
        <w:spacing w:after="60"/>
        <w:ind w:left="360" w:hanging="259"/>
      </w:pPr>
      <w:r>
        <w:t>6. En el incremento de escritorio, el Operador puede previsualizar e imprimir una etiqueta autorizada vinculada con el identificador de la unidad.</w:t>
      </w:r>
    </w:p>
    <w:p>
      <w:pPr>
        <w:spacing w:after="60"/>
        <w:ind w:left="360" w:hanging="259"/>
      </w:pPr>
      <w:r>
        <w:t>7. La plataforma registra la operación y actualiza las consultas autorizadas de inventario o disponibilidad.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Una unidad vencida, dada de baja o en estado no disponible no se ofrece para una nueva operación.</w:t>
      </w:r>
    </w:p>
    <w:p>
      <w:pPr>
        <w:pStyle w:val="ListBullet"/>
      </w:pPr>
      <w:r>
        <w:t>Una transición inválida se rechaza sin perder la información previamente persistida.</w:t>
      </w:r>
    </w:p>
    <w:p>
      <w:pPr>
        <w:pStyle w:val="ListBullet"/>
      </w:pPr>
      <w:r>
        <w:t>Un órgano con información obligatoria faltante conserva un estado explícito y no se presenta como viable o asignado.</w:t>
      </w:r>
    </w:p>
    <w:p>
      <w:pPr>
        <w:pStyle w:val="ListBullet"/>
      </w:pPr>
      <w:r>
        <w:t>Capturar disponibilidad o viabilidad no equivale a autorizar una asignación.</w:t>
      </w:r>
    </w:p>
    <w:p>
      <w:pPr>
        <w:pStyle w:val="ListBullet"/>
      </w:pPr>
      <w:r>
        <w:t>Una reimpresión de etiqueta requiere el motivo definido y genera auditoría.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RF-WEB-008, RF-WEB-009, RF-MS-002, RF-DESK-002, RF-DESK-005, RF-DAT-001, RF-DAT-005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RNF-WEB-003, RNF-WEB-004, RNF-DAT-001, RNF-DAT-004, RNF-SEC-002, RNF-SEC-003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HU-WEB-008, HU-WEB-009, HU-DESK-002, HU-DESK-004, HE-DAT-001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RN-GOB-003, RN-GOB-004, RN-INV-001, RN-INV-002, RN-INV-003, RN-INV-006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5. Casos de uso de personas, solicitudes y decisiones</w:t>
      </w:r>
    </w:p>
    <w:p>
      <w:pPr>
        <w:pStyle w:val="Heading2"/>
      </w:pPr>
      <w:r>
        <w:t>5.1 CU-05 — Gestionar la participación del donante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Donante; Operador de banco de sangre o Personal médico autorizado para el expediente validado.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Institución participante; servicio de donantes y receptores; servicio de alertas.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Aplicación móvil mediante JSON; sistema web; microservicios; PostgreSQL y Redis según la operación.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Una persona desea iniciar su registro, consultar campañas, gestionar una cita o revisar un aviso propio.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Para operaciones privadas, sesión válida; campaña publicada y vigente cuando se solicite una cita.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Registro preliminar, expediente autorizado, cita o aviso quedan vinculados con el donante y conservan el estado correspondiente.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Donante accede a las opciones permitidas de su perfil móvil.</w:t>
      </w:r>
    </w:p>
    <w:p>
      <w:pPr>
        <w:spacing w:after="60"/>
        <w:ind w:left="360" w:hanging="259"/>
      </w:pPr>
      <w:r>
        <w:t>2. Envía un registro preliminar con los datos mínimos y consentimientos definidos; la plataforma valida formato y posibles duplicados sin revelar expedientes existentes.</w:t>
      </w:r>
    </w:p>
    <w:p>
      <w:pPr>
        <w:spacing w:after="60"/>
        <w:ind w:left="360" w:hanging="259"/>
      </w:pPr>
      <w:r>
        <w:t>3. El sistema entrega un folio y mantiene el registro como pendiente de validación presencial o profesional.</w:t>
      </w:r>
    </w:p>
    <w:p>
      <w:pPr>
        <w:spacing w:after="60"/>
        <w:ind w:left="360" w:hanging="259"/>
      </w:pPr>
      <w:r>
        <w:t>4. El Donante consulta campañas publicadas y selecciona una institución, fecha y horario disponible.</w:t>
      </w:r>
    </w:p>
    <w:p>
      <w:pPr>
        <w:spacing w:after="60"/>
        <w:ind w:left="360" w:hanging="259"/>
      </w:pPr>
      <w:r>
        <w:t>5. La plataforma valida disponibilidad y confirma una cita con folio y un solo estado vigente.</w:t>
      </w:r>
    </w:p>
    <w:p>
      <w:pPr>
        <w:spacing w:after="60"/>
        <w:ind w:left="360" w:hanging="259"/>
      </w:pPr>
      <w:r>
        <w:t>6. El personal autorizado valida o mantiene posteriormente el expediente conforme al tipo de donación y registra cualquier decisión permitida.</w:t>
      </w:r>
    </w:p>
    <w:p>
      <w:pPr>
        <w:spacing w:after="60"/>
        <w:ind w:left="360" w:hanging="259"/>
      </w:pPr>
      <w:r>
        <w:t>7. El Donante recibe avisos de seguimiento o elegibilidad originados en una decisión autorizada y consulta únicamente la información propia permitida.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El registro preliminar no declara elegibilidad ni crea automáticamente una donación.</w:t>
      </w:r>
    </w:p>
    <w:p>
      <w:pPr>
        <w:pStyle w:val="ListBullet"/>
      </w:pPr>
      <w:r>
        <w:t>Si el horario deja de estar disponible, se informa el conflicto sin generar una cita duplicada.</w:t>
      </w:r>
    </w:p>
    <w:p>
      <w:pPr>
        <w:pStyle w:val="ListBullet"/>
      </w:pPr>
      <w:r>
        <w:t>Una cancelación sigue las transiciones y plazos definidos y conserva el historial de la cita.</w:t>
      </w:r>
    </w:p>
    <w:p>
      <w:pPr>
        <w:pStyle w:val="ListBullet"/>
      </w:pPr>
      <w:r>
        <w:t>Leer o descartar un aviso no cambia el estado clínico o de elegibilidad.</w:t>
      </w:r>
    </w:p>
    <w:p>
      <w:pPr>
        <w:pStyle w:val="ListBullet"/>
      </w:pPr>
      <w:r>
        <w:t>Si una operación permitida queda sin conexión, se conserva de forma protegida y se sincroniza con un identificador idempotente; los conflictos permanecen visibles.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RF-WEB-006, RF-MS-001, RF-MOV-002, RF-MOV-003, RF-MOV-004, RF-MOV-007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RNF-MS-002, RNF-MOV-001 a RNF-MOV-004, RNF-SEC-002, RNF-SEC-006, RNF-SEC-008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HU-WEB-006, HU-MOV-002, HU-MOV-003, HU-MOV-004, HU-MOV-007, HE-MOV-001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RN-GOB-004, RN-PER-001, RN-PER-002, RN-PER-003, RN-PER-005, RN-COM-001</w:t>
            </w:r>
          </w:p>
        </w:tc>
      </w:tr>
    </w:tbl>
    <w:p>
      <w:pPr>
        <w:spacing w:after="0"/>
      </w:pPr>
    </w:p>
    <w:p>
      <w:pPr>
        <w:pStyle w:val="Heading2"/>
      </w:pPr>
      <w:r>
        <w:t>5.2 CU-06 — Registrar un receptor y gestionar su solicitud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Personal médico autorizado.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Institución solicitante; Coordinador regional; servicio de donantes y receptores.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web; microservicios; PostgreSQL; alertas y auditoría.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Existe una necesidad documentada de sangre u órgano para un receptor.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El actor mantiene acreditación, permiso y ámbito vigentes; los catálogos necesarios se encuentran disponibles.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El receptor y la solicitud quedan registrados con folio, estado, urgencia autorizada e historial, o se informa la información faltante.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Personal médico autorizado busca al receptor dentro de su ámbito y registra un expediente cuando no existe uno autorizado.</w:t>
      </w:r>
    </w:p>
    <w:p>
      <w:pPr>
        <w:spacing w:after="60"/>
        <w:ind w:left="360" w:hanging="259"/>
      </w:pPr>
      <w:r>
        <w:t>2. Selecciona el proceso de sangre o de órganos y captura únicamente los datos permitidos para dicho proceso.</w:t>
      </w:r>
    </w:p>
    <w:p>
      <w:pPr>
        <w:spacing w:after="60"/>
        <w:ind w:left="360" w:hanging="259"/>
      </w:pPr>
      <w:r>
        <w:t>3. Crea una solicitud con receptor, institución, necesidad, responsable, fecha y urgencia registrada o confirmada por personal autorizado.</w:t>
      </w:r>
    </w:p>
    <w:p>
      <w:pPr>
        <w:spacing w:after="60"/>
        <w:ind w:left="360" w:hanging="259"/>
      </w:pPr>
      <w:r>
        <w:t>4. La plataforma valida campos obligatorios, posibles duplicados, ámbito y consistencia del estado solicitado.</w:t>
      </w:r>
    </w:p>
    <w:p>
      <w:pPr>
        <w:spacing w:after="60"/>
        <w:ind w:left="360" w:hanging="259"/>
      </w:pPr>
      <w:r>
        <w:t>5. El usuario revisa y confirma la información.</w:t>
      </w:r>
    </w:p>
    <w:p>
      <w:pPr>
        <w:spacing w:after="60"/>
        <w:ind w:left="360" w:hanging="259"/>
      </w:pPr>
      <w:r>
        <w:t>6. El sistema asigna un folio, persiste la solicitud y registra el evento de auditoría.</w:t>
      </w:r>
    </w:p>
    <w:p>
      <w:pPr>
        <w:spacing w:after="60"/>
        <w:ind w:left="360" w:hanging="259"/>
      </w:pPr>
      <w:r>
        <w:t>7. Se generan las notificaciones operativas configuradas sin iniciar automáticamente una compatibilidad, reserva o asignación definitiva.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Registrar un receptor no crea una cuenta de acceso para el paciente.</w:t>
      </w:r>
    </w:p>
    <w:p>
      <w:pPr>
        <w:pStyle w:val="ListBullet"/>
      </w:pPr>
      <w:r>
        <w:t>Si faltan datos obligatorios, la solicitud permanece incompleta y no avanza a evaluación.</w:t>
      </w:r>
    </w:p>
    <w:p>
      <w:pPr>
        <w:pStyle w:val="ListBullet"/>
      </w:pPr>
      <w:r>
        <w:t>La plataforma no infiere ni modifica la urgencia a partir de datos parciales.</w:t>
      </w:r>
    </w:p>
    <w:p>
      <w:pPr>
        <w:pStyle w:val="ListBullet"/>
      </w:pPr>
      <w:r>
        <w:t>Una consulta fuera del ámbito se deniega sin revelar si el expediente existe.</w:t>
      </w:r>
    </w:p>
    <w:p>
      <w:pPr>
        <w:pStyle w:val="ListBullet"/>
      </w:pPr>
      <w:r>
        <w:t>Un cambio posterior de estado conserva autor, fecha, motivo e historial.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RF-WEB-007, RF-WEB-010, RF-MS-001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RNF-WEB-003, RNF-WEB-004, RNF-DAT-001, RNF-SEC-002, RNF-SEC-003, RNF-SEC-006, RNF-SEC-008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HU-WEB-007, HU-WEB-010, HE-DAT-001, HE-SEC-001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RN-GOB-004, RN-PER-004, RN-SOL-001, RN-SOL-002</w:t>
            </w:r>
          </w:p>
        </w:tc>
      </w:tr>
    </w:tbl>
    <w:p>
      <w:pPr>
        <w:spacing w:after="0"/>
      </w:pPr>
    </w:p>
    <w:p>
      <w:pPr>
        <w:pStyle w:val="Heading2"/>
      </w:pPr>
      <w:r>
        <w:t>5.3 CU-07 — Capturar y revisar pruebas o estudios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 o Personal médico autorizado, según el tipo de estudio.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Revisor autorizado; institución responsable de la prueba.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 y aplicación de escritorio; microservicios; PostgreSQL o almacenamiento semiestructurado justificado; auditoría.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 dispone de una prueba o estudio autorizado relacionado con una persona, muestra o recurso.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El sujeto o recurso existe; el actor posee permiso; el tipo de prueba y su esquema están definidos.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El resultado queda identificado con estado, fuente, responsable e historial, sin producir por sí solo una decisión de disponibilidad o compatibilidad.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actor selecciona el sujeto o recurso y el tipo de prueba correspondiente al proceso de sangre, órgano o tejido.</w:t>
      </w:r>
    </w:p>
    <w:p>
      <w:pPr>
        <w:spacing w:after="60"/>
        <w:ind w:left="360" w:hanging="259"/>
      </w:pPr>
      <w:r>
        <w:t>2. La plataforma presenta los campos y validaciones autorizados para ese tipo, sin reutilizar indiscriminadamente un esquema de otro proceso.</w:t>
      </w:r>
    </w:p>
    <w:p>
      <w:pPr>
        <w:spacing w:after="60"/>
        <w:ind w:left="360" w:hanging="259"/>
      </w:pPr>
      <w:r>
        <w:t>3. El actor captura resultado, fuente, fecha, responsable y estado.</w:t>
      </w:r>
    </w:p>
    <w:p>
      <w:pPr>
        <w:spacing w:after="60"/>
        <w:ind w:left="360" w:hanging="259"/>
      </w:pPr>
      <w:r>
        <w:t>4. El sistema valida obligatoriedad, formato, relación con el recurso y consistencia básica.</w:t>
      </w:r>
    </w:p>
    <w:p>
      <w:pPr>
        <w:spacing w:after="60"/>
        <w:ind w:left="360" w:hanging="259"/>
      </w:pPr>
      <w:r>
        <w:t>5. Cuando corresponda, un revisor autorizado confirma el estado de revisión sin alterar el resultado capturado.</w:t>
      </w:r>
    </w:p>
    <w:p>
      <w:pPr>
        <w:spacing w:after="60"/>
        <w:ind w:left="360" w:hanging="259"/>
      </w:pPr>
      <w:r>
        <w:t>6. La plataforma persiste la versión y registra el acceso o cambio conforme a su sensibilidad.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Un resultado incompleto, contradictorio o pendiente se muestra con ese estado y no se considera confirmado.</w:t>
      </w:r>
    </w:p>
    <w:p>
      <w:pPr>
        <w:pStyle w:val="ListBullet"/>
      </w:pPr>
      <w:r>
        <w:t>Si una corrección es necesaria, se conserva el resultado anterior, el motivo y el responsable.</w:t>
      </w:r>
    </w:p>
    <w:p>
      <w:pPr>
        <w:pStyle w:val="ListBullet"/>
      </w:pPr>
      <w:r>
        <w:t>La ausencia de una prueba obligatoria impide avanzar a un estado que la requiera conforme a las reglas validadas.</w:t>
      </w:r>
    </w:p>
    <w:p>
      <w:pPr>
        <w:pStyle w:val="ListBullet"/>
      </w:pPr>
      <w:r>
        <w:t>Capturar o revisar el resultado no autoriza automáticamente disponibilidad, compatibilidad o asignación.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RF-WEB-011, RF-DESK-003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RNF-DESK-002, RNF-DESK-003, RNF-DAT-001, RNF-DAT-004, RNF-SEC-002, RNF-SEC-003, RNF-SEC-006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HU-WEB-011, HU-DESK-002, HE-DESK-001, HE-DAT-001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RN-GOB-004, RN-INV-004, RN-SOL-003</w:t>
            </w:r>
          </w:p>
        </w:tc>
      </w:tr>
    </w:tbl>
    <w:p>
      <w:pPr>
        <w:spacing w:after="0"/>
      </w:pPr>
    </w:p>
    <w:p>
      <w:pPr>
        <w:pStyle w:val="Heading2"/>
      </w:pPr>
      <w:r>
        <w:t>5.4 CU-08 — Evaluar compatibilidad y priorización explicables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Personal médico autorizado o Coordinador regional.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Servicios de compatibilidad, priorización y geografía.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 o aplicación de escritorio; microservicios; PostgreSQL, MongoDB o Redis conforme al dato; auditoría.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Una solicitud completa requiere identificar y ordenar alternativas compatibles.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Solicitud, recursos y datos mínimos disponibles; reglas autorizadas y versionadas o reglas demostrativas identificadas.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 conserva una evaluación inmutable con candidatos, posición, factores, versión, explicación y decisión humana relacionada cuando exista.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actor selecciona una solicitud autorizada y solicita una evaluación.</w:t>
      </w:r>
    </w:p>
    <w:p>
      <w:pPr>
        <w:spacing w:after="60"/>
        <w:ind w:left="360" w:hanging="259"/>
      </w:pPr>
      <w:r>
        <w:t>2. El servicio reúne los datos mínimos de la solicitud y de los recursos candidatos sin trasladar reglas principales al cliente.</w:t>
      </w:r>
    </w:p>
    <w:p>
      <w:pPr>
        <w:spacing w:after="60"/>
        <w:ind w:left="360" w:hanging="259"/>
      </w:pPr>
      <w:r>
        <w:t>3. El servicio de compatibilidad aplica únicamente las reglas versionadas del proceso sanguíneo o HLA correspondiente e identifica información faltante.</w:t>
      </w:r>
    </w:p>
    <w:p>
      <w:pPr>
        <w:spacing w:after="60"/>
        <w:ind w:left="360" w:hanging="259"/>
      </w:pPr>
      <w:r>
        <w:t>4. El servicio de priorización ordena los candidatos con los factores autorizados, incluida la urgencia registrada y, cuando corresponda, resultados de distancia y tiempo provenientes de una fuente identificada.</w:t>
      </w:r>
    </w:p>
    <w:p>
      <w:pPr>
        <w:spacing w:after="60"/>
        <w:ind w:left="360" w:hanging="259"/>
      </w:pPr>
      <w:r>
        <w:t>5. La plataforma presenta candidatos, datos faltantes, factores, ponderaciones autorizadas, versión, fecha y explicación reproducible.</w:t>
      </w:r>
    </w:p>
    <w:p>
      <w:pPr>
        <w:spacing w:after="60"/>
        <w:ind w:left="360" w:hanging="259"/>
      </w:pPr>
      <w:r>
        <w:t>6. El actor registra aceptación, rechazo, solicitud de reevaluación o excepción justificada según su competencia.</w:t>
      </w:r>
    </w:p>
    <w:p>
      <w:pPr>
        <w:spacing w:after="60"/>
        <w:ind w:left="360" w:hanging="259"/>
      </w:pPr>
      <w:r>
        <w:t>7. El cálculo original y la decisión humana quedan vinculados y auditados sin que uno sobrescriba al otro.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La falta de información se muestra expresamente y no se interpreta como compatibilidad.</w:t>
      </w:r>
    </w:p>
    <w:p>
      <w:pPr>
        <w:pStyle w:val="ListBullet"/>
      </w:pPr>
      <w:r>
        <w:t>La urgencia no es inferida ni alterada por el algoritmo.</w:t>
      </w:r>
    </w:p>
    <w:p>
      <w:pPr>
        <w:pStyle w:val="ListBullet"/>
      </w:pPr>
      <w:r>
        <w:t>Si una regla o método cambia, se produce una nueva evaluación y se conserva la anterior.</w:t>
      </w:r>
    </w:p>
    <w:p>
      <w:pPr>
        <w:pStyle w:val="ListBullet"/>
      </w:pPr>
      <w:r>
        <w:t>Un servicio geográfico no disponible se reporta como dato faltante o degradación según el flujo autorizado; no se inventa distancia ni tiempo.</w:t>
      </w:r>
    </w:p>
    <w:p>
      <w:pPr>
        <w:pStyle w:val="ListBullet"/>
      </w:pPr>
      <w:r>
        <w:t>El resultado no reserva, asigna ni descarta definitivamente un recurso por sí mismo.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RF-WEB-012, RF-MS-003, RF-MS-004, RF-MS-005, RF-DESK-004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RNF-MS-001 a RNF-MS-006, RNF-DESK-002, RNF-DAT-001, RNF-DAT-004, RNF-SEC-002, RNF-SEC-006, RNF-SEC-008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HU-MS-001, HU-DESK-003, HE-MS-001, HE-DAT-001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RN-GOB-001, RN-GOB-002, RN-GOB-005, RN-SOL-002, RN-SOL-004, RN-SOL-005, RN-SOL-006</w:t>
            </w:r>
          </w:p>
        </w:tc>
      </w:tr>
    </w:tbl>
    <w:p>
      <w:pPr>
        <w:spacing w:after="0"/>
      </w:pPr>
    </w:p>
    <w:p>
      <w:pPr>
        <w:pStyle w:val="Heading2"/>
      </w:pPr>
      <w:r>
        <w:t>5.5 CU-09 — Autorizar y controlar una asignación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Coordinador regional, sujeto a la autorización clínica o normativa aplicable.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Personal médico autorizado; servicio de inventario; servicio de auditoría.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web; microservicios; PostgreSQL; Redis para bloqueo temporal cuando corresponda; alertas y auditoría.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Existe una solicitud y un recurso candidato que requieren una decisión de reserva o asignación.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Solicitud y recurso vigentes; resultados y advertencias disponibles; actor autorizado; recurso sin asignación activa incompatible.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La reserva, asignación, liberación, cancelación o reasignación queda confirmada una sola vez, con estado, motivo e historial.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Coordinador abre la solicitud y selecciona un recurso candidato.</w:t>
      </w:r>
    </w:p>
    <w:p>
      <w:pPr>
        <w:spacing w:after="60"/>
        <w:ind w:left="360" w:hanging="259"/>
      </w:pPr>
      <w:r>
        <w:t>2. La plataforma muestra solicitud, recurso, evaluación disponible, versión, datos faltantes y advertencias aplicables.</w:t>
      </w:r>
    </w:p>
    <w:p>
      <w:pPr>
        <w:spacing w:after="60"/>
        <w:ind w:left="360" w:hanging="259"/>
      </w:pPr>
      <w:r>
        <w:t>3. El sistema vuelve a validar disponibilidad, permisos y ausencia de otra reserva o asignación activa incompatible.</w:t>
      </w:r>
    </w:p>
    <w:p>
      <w:pPr>
        <w:spacing w:after="60"/>
        <w:ind w:left="360" w:hanging="259"/>
      </w:pPr>
      <w:r>
        <w:t>4. El actor registra la confirmación humana, la justificación y la autorización adicional que corresponda.</w:t>
      </w:r>
    </w:p>
    <w:p>
      <w:pPr>
        <w:spacing w:after="60"/>
        <w:ind w:left="360" w:hanging="259"/>
      </w:pPr>
      <w:r>
        <w:t>5. La plataforma ejecuta la transición mediante la transacción, restricción o bloqueo definido.</w:t>
      </w:r>
    </w:p>
    <w:p>
      <w:pPr>
        <w:spacing w:after="60"/>
        <w:ind w:left="360" w:hanging="259"/>
      </w:pPr>
      <w:r>
        <w:t>6. Se persisten el nuevo estado y la relación con el cálculo revisado sin modificar el resultado algorítmico original.</w:t>
      </w:r>
    </w:p>
    <w:p>
      <w:pPr>
        <w:spacing w:after="60"/>
        <w:ind w:left="360" w:hanging="259"/>
      </w:pPr>
      <w:r>
        <w:t>7. Se generan auditoría y notificaciones para las instituciones y personas autorizadas.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Si otro proceso reservó o asignó el recurso, la confirmación se rechaza y se solicita actualizar las alternativas.</w:t>
      </w:r>
    </w:p>
    <w:p>
      <w:pPr>
        <w:pStyle w:val="ListBullet"/>
      </w:pPr>
      <w:r>
        <w:t>Una liberación, cancelación o reasignación requiere transición válida y motivo; la operación anterior permanece en el historial.</w:t>
      </w:r>
    </w:p>
    <w:p>
      <w:pPr>
        <w:pStyle w:val="ListBullet"/>
      </w:pPr>
      <w:r>
        <w:t>La falta de autorización humana aplicable impide confirmar la asignación.</w:t>
      </w:r>
    </w:p>
    <w:p>
      <w:pPr>
        <w:pStyle w:val="ListBullet"/>
      </w:pPr>
      <w:r>
        <w:t>Un timeout con resultado incierto debe resolverse consultando el estado idempotente antes de reintentar.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RF-WEB-013, RF-DAT-003, RF-DAT-005, RF-SEC-003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RNF-MS-003, RNF-MS-005, RNF-DAT-002, RNF-DAT-004, RNF-SEC-002, RNF-SEC-006, RNF-SEC-008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HU-WEB-012, HE-DAT-001, HE-SEC-001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RN-GOB-001, RN-GOB-005, RN-SOL-006, RN-LOG-001, RN-LOG-002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6. Casos de uso de logística, supervisión y control</w:t>
      </w:r>
    </w:p>
    <w:p>
      <w:pPr>
        <w:pStyle w:val="Heading2"/>
      </w:pPr>
      <w:r>
        <w:t>6.1 CU-10 — Planear y programar un traslado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Coordinador regional.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Instituciones de origen y destino; Personal de traslado; servicios geográfico y de transporte.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 o aplicación de escritorio; microservicios; PostgreSQL; alertas.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Un recurso asignado o autorizado requiere movimiento entre instituciones.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Recurso, origen y destino identificados; autorización aplicable vigente; responsables disponibles.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Existe una orden de traslado con recurso, ruta, origen, destino, responsable, horario y estado inicial.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Coordinador selecciona el recurso y las instituciones de origen y destino autorizadas.</w:t>
      </w:r>
    </w:p>
    <w:p>
      <w:pPr>
        <w:spacing w:after="60"/>
        <w:ind w:left="360" w:hanging="259"/>
      </w:pPr>
      <w:r>
        <w:t>2. La plataforma solicita al servicio geográfico las alternativas de distancia y tiempo estimado disponibles.</w:t>
      </w:r>
    </w:p>
    <w:p>
      <w:pPr>
        <w:spacing w:after="60"/>
        <w:ind w:left="360" w:hanging="259"/>
      </w:pPr>
      <w:r>
        <w:t>3. El servicio devuelve origen, destino, fuente, fecha, limitaciones y alternativas comparables, sin imponer una decisión.</w:t>
      </w:r>
    </w:p>
    <w:p>
      <w:pPr>
        <w:spacing w:after="60"/>
        <w:ind w:left="360" w:hanging="259"/>
      </w:pPr>
      <w:r>
        <w:t>4. El Coordinador elige la alternativa autorizada, asigna al Personal de traslado y establece el horario operativo.</w:t>
      </w:r>
    </w:p>
    <w:p>
      <w:pPr>
        <w:spacing w:after="60"/>
        <w:ind w:left="360" w:hanging="259"/>
      </w:pPr>
      <w:r>
        <w:t>5. La plataforma valida que la asignación del recurso y los participantes continúen vigentes.</w:t>
      </w:r>
    </w:p>
    <w:p>
      <w:pPr>
        <w:spacing w:after="60"/>
        <w:ind w:left="360" w:hanging="259"/>
      </w:pPr>
      <w:r>
        <w:t>6. Se crea la orden con estado inicial y se notifica únicamente a los participantes autorizados.</w:t>
      </w:r>
    </w:p>
    <w:p>
      <w:pPr>
        <w:spacing w:after="60"/>
        <w:ind w:left="360" w:hanging="259"/>
      </w:pPr>
      <w:r>
        <w:t>7. La creación y cualquier actualización posterior quedan auditadas.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Si la fuente geográfica no responde, la plataforma informa la degradación y aplica únicamente el procedimiento alternativo previamente autorizado.</w:t>
      </w:r>
    </w:p>
    <w:p>
      <w:pPr>
        <w:pStyle w:val="ListBullet"/>
      </w:pPr>
      <w:r>
        <w:t>Una distancia o tiempo calculados conservan su fuente y limitaciones y no se presentan como garantía del traslado.</w:t>
      </w:r>
    </w:p>
    <w:p>
      <w:pPr>
        <w:pStyle w:val="ListBullet"/>
      </w:pPr>
      <w:r>
        <w:t>Si el recurso deja de estar disponible antes de crear la orden, el flujo se detiene y no genera un traslado huérfano.</w:t>
      </w:r>
    </w:p>
    <w:p>
      <w:pPr>
        <w:pStyle w:val="ListBullet"/>
      </w:pPr>
      <w:r>
        <w:t>El Personal de traslado solo recibe la información logística y clínica mínima indispensable.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RF-WEB-014, RF-MS-005, RF-MS-006, RF-MOV-005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RNF-MS-002 a RNF-MS-005, RNF-DAT-001, RNF-SEC-002, RNF-SEC-005, RNF-SEC-006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HU-MS-002, HU-MOV-005, HE-MS-001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RN-SOL-005, RN-LOG-003, RN-LOG-004, RN-LOG-005</w:t>
            </w:r>
          </w:p>
        </w:tc>
      </w:tr>
    </w:tbl>
    <w:p>
      <w:pPr>
        <w:spacing w:after="0"/>
      </w:pPr>
    </w:p>
    <w:p>
      <w:pPr>
        <w:pStyle w:val="Heading2"/>
      </w:pPr>
      <w:r>
        <w:t>6.2 CU-11 — Ejecutar traslado y documentar cadena de custodia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Personal de traslado; Operador de banco de sangre o Coordinador regional según el evento.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Instituciones de origen y destino; servicios de transporte, custodia, archivos y auditoría.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Aplicación móvil mediante JSON; aplicación de escritorio mediante XML; microservicios; MongoDB o PostgreSQL según el evento; Redis y Google Cloud Storage.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El Personal de traslado inicia la recolección o un actor autorizado debe registrar el siguiente evento de custodia.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Orden activa y asignada; recurso identificado; actor y evento autorizados; periodo de captura vigente.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El evento queda registrado una sola vez, en secuencia, con responsable, fecha, condición y evidencia autorizada.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Personal de traslado consulta únicamente sus órdenes activas y selecciona la correspondiente.</w:t>
      </w:r>
    </w:p>
    <w:p>
      <w:pPr>
        <w:spacing w:after="60"/>
        <w:ind w:left="360" w:hanging="259"/>
      </w:pPr>
      <w:r>
        <w:t>2. Escanea el código del recurso; la plataforma compara orden, recurso y siguiente evento esperado.</w:t>
      </w:r>
    </w:p>
    <w:p>
      <w:pPr>
        <w:spacing w:after="60"/>
        <w:ind w:left="360" w:hanging="259"/>
      </w:pPr>
      <w:r>
        <w:t>3. Cuando coinciden, el actor registra condición, confirmación y ubicación autorizada; puede adjuntar evidencia fotográfica dentro del periodo permitido.</w:t>
      </w:r>
    </w:p>
    <w:p>
      <w:pPr>
        <w:spacing w:after="60"/>
        <w:ind w:left="360" w:hanging="259"/>
      </w:pPr>
      <w:r>
        <w:t>4. La aplicación envía el evento con un identificador idempotente al servicio de custodia.</w:t>
      </w:r>
    </w:p>
    <w:p>
      <w:pPr>
        <w:spacing w:after="60"/>
        <w:ind w:left="360" w:hanging="259"/>
      </w:pPr>
      <w:r>
        <w:t>5. El servicio valida secuencia y permisos, registra el evento como append-only y actualiza el estado derivado de la orden.</w:t>
      </w:r>
    </w:p>
    <w:p>
      <w:pPr>
        <w:spacing w:after="60"/>
        <w:ind w:left="360" w:hanging="259"/>
      </w:pPr>
      <w:r>
        <w:t>6. La evidencia se almacena de forma privada en Google Cloud Storage y se conservan únicamente su referencia y metadatos autorizados.</w:t>
      </w:r>
    </w:p>
    <w:p>
      <w:pPr>
        <w:spacing w:after="60"/>
        <w:ind w:left="360" w:hanging="259"/>
      </w:pPr>
      <w:r>
        <w:t>7. En destino, el Operador o Coordinador registra el evento permitido desde móvil o escritorio y consulta el historial combinado sin duplicados.</w:t>
      </w:r>
    </w:p>
    <w:p>
      <w:pPr>
        <w:spacing w:after="60"/>
        <w:ind w:left="360" w:hanging="259"/>
      </w:pPr>
      <w:r>
        <w:t>8. Los componentes autorizados muestran el nuevo estado y la operación queda auditada.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Una discrepancia de código, orden o evento bloquea la confirmación y permite registrar una incidencia.</w:t>
      </w:r>
    </w:p>
    <w:p>
      <w:pPr>
        <w:pStyle w:val="ListBullet"/>
      </w:pPr>
      <w:r>
        <w:t>Solo las operaciones definidas como seguras se conservan sin conexión; ninguna asignación o decisión clínica se confirma localmente.</w:t>
      </w:r>
    </w:p>
    <w:p>
      <w:pPr>
        <w:pStyle w:val="ListBullet"/>
      </w:pPr>
      <w:r>
        <w:t>Al recuperar conectividad, la sincronización no duplica eventos y mantiene visibles los conflictos, rechazos o vencimientos.</w:t>
      </w:r>
    </w:p>
    <w:p>
      <w:pPr>
        <w:pStyle w:val="ListBullet"/>
      </w:pPr>
      <w:r>
        <w:t>Una corrección genera un evento relacionado y no edita ni elimina el evento confirmado.</w:t>
      </w:r>
    </w:p>
    <w:p>
      <w:pPr>
        <w:pStyle w:val="ListBullet"/>
      </w:pPr>
      <w:r>
        <w:t>Si se deniega cámara o ubicación, se presenta el procedimiento alternativo autorizado; la captura no continúa fuera del periodo permitido.</w:t>
      </w:r>
    </w:p>
    <w:p>
      <w:pPr>
        <w:pStyle w:val="ListBullet"/>
      </w:pPr>
      <w:r>
        <w:t>Las copias locales innecesarias se eliminan al completar su finalidad.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RF-MS-006, RF-MOV-005, RF-MOV-006, RF-MOV-007, RF-DESK-006, RF-DAT-004, RF-DAT-005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RNF-MS-002, RNF-MS-005, RNF-MOV-001 a RNF-MOV-004, RNF-DESK-002, RNF-DESK-003, RNF-DAT-001, RNF-DAT-003, RNF-SEC-002, RNF-SEC-003, RNF-SEC-006, RNF-SEC-007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HU-MS-002, HU-MOV-005, HU-MOV-006, HU-MOV-007, HU-DESK-005, HE-MOV-001, HE-DESK-001, HE-DAT-001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RN-LOG-003, RN-LOG-004, RN-LOG-005, RN-LOG-006, RN-LOG-007, RN-COM-004</w:t>
            </w:r>
          </w:p>
        </w:tc>
      </w:tr>
    </w:tbl>
    <w:p>
      <w:pPr>
        <w:spacing w:after="0"/>
      </w:pPr>
    </w:p>
    <w:p>
      <w:pPr>
        <w:pStyle w:val="Heading2"/>
      </w:pPr>
      <w:r>
        <w:t>6.3 CU-12 — Supervisar paneles, alertas y pronósticos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Administrador, Operador, Personal médico autorizado, Coordinador regional, Personal de traslado, Donante o Auditor, según la información dirigida.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Servicios de inventario, alertas, priorización y pronóstico.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Transversal: panel básico para tres perfiles en el primer parcial; panel regional, alertas y pronósticos posteriormente.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web; aplicación móvil para avisos; microservicios; PostgreSQL, MongoDB o Redis conforme al dato.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Un usuario consulta su panel o recibe una alerta, o el Coordinador solicita un pronóstico autorizado.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Sesión y ámbito válidos; datos persistidos disponibles; regla o método de alerta o pronóstico identificado.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La información se muestra al destinatario autorizado y cualquier acción sobre una alerta conserva su estado e historial.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usuario accede al panel correspondiente a su perfil y ámbito.</w:t>
      </w:r>
    </w:p>
    <w:p>
      <w:pPr>
        <w:spacing w:after="60"/>
        <w:ind w:left="360" w:hanging="259"/>
      </w:pPr>
      <w:r>
        <w:t>2. En el primer parcial, la plataforma presenta únicamente datos persistidos y accesos autorizados de catálogos, inventario sanguíneo ficticio y auditoría.</w:t>
      </w:r>
    </w:p>
    <w:p>
      <w:pPr>
        <w:spacing w:after="60"/>
        <w:ind w:left="360" w:hanging="259"/>
      </w:pPr>
      <w:r>
        <w:t>3. En incrementos posteriores, el panel incorpora solicitudes, caducidad, traslados, indicadores regionales y gráficas Highcharts sustentadas por consultas verificables.</w:t>
      </w:r>
    </w:p>
    <w:p>
      <w:pPr>
        <w:spacing w:after="60"/>
        <w:ind w:left="360" w:hanging="259"/>
      </w:pPr>
      <w:r>
        <w:t>4. El servicio de alertas dirige eventos de urgencia, caducidad, retraso o inconsistencia solo a perfiles capaces de actuar y relaciona o deduplica repeticiones.</w:t>
      </w:r>
    </w:p>
    <w:p>
      <w:pPr>
        <w:spacing w:after="60"/>
        <w:ind w:left="360" w:hanging="259"/>
      </w:pPr>
      <w:r>
        <w:t>5. El usuario autorizado marca una alerta como leída, atendida o cerrada conforme al flujo permitido.</w:t>
      </w:r>
    </w:p>
    <w:p>
      <w:pPr>
        <w:spacing w:after="60"/>
        <w:ind w:left="360" w:hanging="259"/>
      </w:pPr>
      <w:r>
        <w:t>6. Cuando el Coordinador solicita un pronóstico, la plataforma muestra periodo, datos históricos o sintéticos, versión, factores, explicación y limitaciones.</w:t>
      </w:r>
    </w:p>
    <w:p>
      <w:pPr>
        <w:spacing w:after="60"/>
        <w:ind w:left="360" w:hanging="259"/>
      </w:pPr>
      <w:r>
        <w:t>7. El sistema registra las consultas o acciones sensibles que correspondan.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Un dato inexistente o no disponible se señala expresamente y no se reemplaza por una cifra simulada no identificada.</w:t>
      </w:r>
    </w:p>
    <w:p>
      <w:pPr>
        <w:pStyle w:val="ListBullet"/>
      </w:pPr>
      <w:r>
        <w:t>Una alerta orienta la revisión, pero no ejecuta automáticamente una baja, transferencia o decisión clínica.</w:t>
      </w:r>
    </w:p>
    <w:p>
      <w:pPr>
        <w:pStyle w:val="ListBullet"/>
      </w:pPr>
      <w:r>
        <w:t>Un pronóstico no modifica la fecha ni el estado real de la unidad y una sugerencia de balanceo no inicia automáticamente un traslado.</w:t>
      </w:r>
    </w:p>
    <w:p>
      <w:pPr>
        <w:pStyle w:val="ListBullet"/>
      </w:pPr>
      <w:r>
        <w:t>Si una fuente se encuentra degradada, el panel diferencia la falta de datos de un valor igual a cero.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RF-WEB-015, RF-MS-007, RF-MS-009, RF-MOV-004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RNF-WEB-001 a RNF-WEB-004, RNF-MS-004 a RNF-MS-006, RNF-SEC-002, RNF-SEC-006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HU-WEB-013, HU-MS-003, HU-MS-004, HU-MOV-004, HE-WEB-001, HE-MS-001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RN-GOB-003, RN-GOB-005, RN-INV-005, RN-COM-001, RN-COM-002</w:t>
            </w:r>
          </w:p>
        </w:tc>
      </w:tr>
    </w:tbl>
    <w:p>
      <w:pPr>
        <w:spacing w:after="0"/>
      </w:pPr>
    </w:p>
    <w:p>
      <w:pPr>
        <w:pStyle w:val="Heading2"/>
      </w:pPr>
      <w:r>
        <w:t>6.4 CU-13 — Generar reportes y gestionar evidencia documental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sangre, Coordinador regional o Auditor, según permiso; otros perfiles autorizados para adjuntar evidencia.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Servicio de archivos; Google Cloud Storage; institución responsable de los datos.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 y aplicación de escritorio; microservicios; Google Cloud Storage y bases de metadatos.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Un usuario necesita generar o exportar un reporte, o adjuntar, consultar o descargar evidencia de una operación.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Sesión, ámbito, plantilla, operación y finalidad autorizados; almacenamiento disponible.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El reporte o archivo queda generado o vinculado con metadatos, privacidad y auditoría correspondientes.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actor selecciona un reporte autorizado o una operación que admite evidencia.</w:t>
      </w:r>
    </w:p>
    <w:p>
      <w:pPr>
        <w:spacing w:after="60"/>
        <w:ind w:left="360" w:hanging="259"/>
      </w:pPr>
      <w:r>
        <w:t>2. Para un reporte, define únicamente periodo, institución, filtros y campos permitidos; para un archivo, selecciona el tipo y la finalidad autorizados.</w:t>
      </w:r>
    </w:p>
    <w:p>
      <w:pPr>
        <w:spacing w:after="60"/>
        <w:ind w:left="360" w:hanging="259"/>
      </w:pPr>
      <w:r>
        <w:t>3. La plataforma valida permisos, formato, tamaño, contenido permitido y disponibilidad de la fuente.</w:t>
      </w:r>
    </w:p>
    <w:p>
      <w:pPr>
        <w:spacing w:after="60"/>
        <w:ind w:left="360" w:hanging="259"/>
      </w:pPr>
      <w:r>
        <w:t>4. El reporte se genera con fecha, filtros, fuente y responsable, o el archivo se carga en un objeto privado con identificador, hash y metadatos.</w:t>
      </w:r>
    </w:p>
    <w:p>
      <w:pPr>
        <w:spacing w:after="60"/>
        <w:ind w:left="360" w:hanging="259"/>
      </w:pPr>
      <w:r>
        <w:t>5. La consulta o descarga utiliza un mecanismo temporal autorizado y no expone una ruta pública permanente.</w:t>
      </w:r>
    </w:p>
    <w:p>
      <w:pPr>
        <w:spacing w:after="60"/>
        <w:ind w:left="360" w:hanging="259"/>
      </w:pPr>
      <w:r>
        <w:t>6. La plataforma registra generación, carga, consulta o descarga cuando corresponda a información sensible.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Un formato no validado se identifica como académico u operativo y no como reporte regulatorio oficial.</w:t>
      </w:r>
    </w:p>
    <w:p>
      <w:pPr>
        <w:pStyle w:val="ListBullet"/>
      </w:pPr>
      <w:r>
        <w:t>Una carga inválida se rechaza sin procesar contenido inseguro ni crear una referencia huérfana.</w:t>
      </w:r>
    </w:p>
    <w:p>
      <w:pPr>
        <w:pStyle w:val="ListBullet"/>
      </w:pPr>
      <w:r>
        <w:t>Los archivos grandes no se almacenan directamente en PostgreSQL o MongoDB.</w:t>
      </w:r>
    </w:p>
    <w:p>
      <w:pPr>
        <w:pStyle w:val="ListBullet"/>
      </w:pPr>
      <w:r>
        <w:t>Una exportación fuera de ámbito se deniega y no incluye columnas sensibles no autorizadas.</w:t>
      </w:r>
    </w:p>
    <w:p>
      <w:pPr>
        <w:pStyle w:val="ListBullet"/>
      </w:pPr>
      <w:r>
        <w:t>Si Storage no está disponible, no se confirma la carga y se presenta una acción segura de reintento.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RF-WEB-016, RF-WEB-017, RF-DESK-007, RF-DAT-004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RNF-DESK-002 a RNF-DESK-004, RNF-DAT-001, RNF-DAT-003, RNF-DAT-004, RNF-SEC-002, RNF-SEC-003, RNF-SEC-005, RNF-SEC-006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HU-WEB-014, HU-WEB-015, HU-DESK-006, HE-DAT-001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RN-COM-003, RN-COM-004</w:t>
            </w:r>
          </w:p>
        </w:tc>
      </w:tr>
    </w:tbl>
    <w:p>
      <w:pPr>
        <w:spacing w:after="0"/>
      </w:pPr>
    </w:p>
    <w:p>
      <w:pPr>
        <w:pStyle w:val="Heading2"/>
      </w:pPr>
      <w:r>
        <w:t>6.5 CU-14 — Consultar auditoría y trazabilidad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Auditor.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Servicios de auditoría y de los procesos que originan eventos.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Transversal: alcance básico en el primer parcial y ampliación posterior.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web; microservicio de auditoría; PostgreSQL o MongoDB conforme al diseño autoritativo.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El Auditor necesita reconstruir una autenticación, cambio, decisión o evento dentro de su ámbito.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Sesión de Auditor válida; permiso de consulta; periodo y ámbito definidos.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 presentan eventos minimizados y de solo lectura; la propia consulta o exportación sensible queda registrada.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Auditor abre la bitácora y define filtros de periodo, actor, institución, acción, entidad o resultado.</w:t>
      </w:r>
    </w:p>
    <w:p>
      <w:pPr>
        <w:spacing w:after="60"/>
        <w:ind w:left="360" w:hanging="259"/>
      </w:pPr>
      <w:r>
        <w:t>2. La plataforma valida el ámbito y el nivel de sensibilidad que puede consultar.</w:t>
      </w:r>
    </w:p>
    <w:p>
      <w:pPr>
        <w:spacing w:after="60"/>
        <w:ind w:left="360" w:hanging="259"/>
      </w:pPr>
      <w:r>
        <w:t>3. El servicio recupera los eventos autorizados con identificador, actor, tiempo, acción, entidad y resultado.</w:t>
      </w:r>
    </w:p>
    <w:p>
      <w:pPr>
        <w:spacing w:after="60"/>
        <w:ind w:left="360" w:hanging="259"/>
      </w:pPr>
      <w:r>
        <w:t>4. El Auditor consulta el detalle y las relaciones necesarias para reconstruir la secuencia sin modificar la operación.</w:t>
      </w:r>
    </w:p>
    <w:p>
      <w:pPr>
        <w:spacing w:after="60"/>
        <w:ind w:left="360" w:hanging="259"/>
      </w:pPr>
      <w:r>
        <w:t>5. Cuando posee permiso de exportación, genera una salida minimizada con filtros y responsable identificados.</w:t>
      </w:r>
    </w:p>
    <w:p>
      <w:pPr>
        <w:spacing w:after="60"/>
        <w:ind w:left="360" w:hanging="259"/>
      </w:pPr>
      <w:r>
        <w:t>6. La consulta o exportación sensible se registra como un nuevo evento de auditoría.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El Auditor no puede editar, eliminar, aprobar ni ejecutar la operación examinada.</w:t>
      </w:r>
    </w:p>
    <w:p>
      <w:pPr>
        <w:pStyle w:val="ListBullet"/>
      </w:pPr>
      <w:r>
        <w:t>Una corrección del negocio aparece como un evento relacionado y no reemplaza el original.</w:t>
      </w:r>
    </w:p>
    <w:p>
      <w:pPr>
        <w:pStyle w:val="ListBullet"/>
      </w:pPr>
      <w:r>
        <w:t>Los datos fuera de ámbito se omiten o se ocultan sin revelar su contenido.</w:t>
      </w:r>
    </w:p>
    <w:p>
      <w:pPr>
        <w:pStyle w:val="ListBullet"/>
      </w:pPr>
      <w:r>
        <w:t>En el primer parcial la cobertura se limita a autenticación, usuarios, catálogos, unidades y cambios del MVP.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RF-WEB-018, RF-MS-008, RF-DAT-005, RF-SEC-003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RNF-WEB-004, RNF-MS-004, RNF-DAT-001, RNF-DAT-004, RNF-SEC-002, RNF-SEC-006, RNF-SEC-008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HU-WEB-016, HE-DAT-001, HE-SEC-001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RN-COM-005</w:t>
            </w:r>
          </w:p>
        </w:tc>
      </w:tr>
    </w:tbl>
    <w:p>
      <w:pPr>
        <w:spacing w:after="0"/>
      </w:pPr>
    </w:p>
    <w:p>
      <w:pPr>
        <w:pStyle w:val="Heading2"/>
      </w:pPr>
      <w:r>
        <w:t>6.6 CU-15 — Supervisar salud y disponibilidad técnica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Actor principal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Administrador.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Actores de apoyo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Servicio de monitoreo; componentes supervisados; responsables técnicos configurados.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Servicio y panel de monitoreo; endpoints de salud; logs y métricas centralizables.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Disparador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 ejecuta una verificación periódica, cambia el estado de un componente o el Administrador consulta el panel.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Precondiciones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Endpoints de salud configurados y acceso técnico autorizado.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Postcondiciones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El estado actual, historial, causa conocida y aviso aplicable quedan registrados sin afectar la operación del negocio.</w:t>
            </w:r>
          </w:p>
        </w:tc>
      </w:tr>
    </w:tbl>
    <w:p>
      <w:pPr>
        <w:spacing w:after="0"/>
      </w:pPr>
    </w:p>
    <w:p>
      <w:r>
        <w:rPr>
          <w:b/>
        </w:rPr>
        <w:t>Flujo principal</w:t>
      </w:r>
    </w:p>
    <w:p>
      <w:pPr>
        <w:spacing w:after="60"/>
        <w:ind w:left="360" w:hanging="259"/>
      </w:pPr>
      <w:r>
        <w:t>1. El servicio de monitoreo consulta periódicamente los endpoints aplicables de proceso, PostgreSQL, MongoDB, Redis y Storage.</w:t>
      </w:r>
    </w:p>
    <w:p>
      <w:pPr>
        <w:spacing w:after="60"/>
        <w:ind w:left="360" w:hanging="259"/>
      </w:pPr>
      <w:r>
        <w:t>2. Clasifica cada resultado como disponible, degradado o caído y distingue proceso detenido, dependencia inaccesible, respuesta inválida y timeout.</w:t>
      </w:r>
    </w:p>
    <w:p>
      <w:pPr>
        <w:spacing w:after="60"/>
        <w:ind w:left="360" w:hanging="259"/>
      </w:pPr>
      <w:r>
        <w:t>3. Registra versión, fecha de verificación, latencia, errores y causa conocida con timestamps e identificadores de correlación.</w:t>
      </w:r>
    </w:p>
    <w:p>
      <w:pPr>
        <w:spacing w:after="60"/>
        <w:ind w:left="360" w:hanging="259"/>
      </w:pPr>
      <w:r>
        <w:t>4. El Administrador consulta el estado actual y el historial por servicio y periodo.</w:t>
      </w:r>
    </w:p>
    <w:p>
      <w:pPr>
        <w:spacing w:after="60"/>
        <w:ind w:left="360" w:hanging="259"/>
      </w:pPr>
      <w:r>
        <w:t>5. Una caída, degradación o recuperación genera un aviso a los responsables configurados y actualiza el incidente relacionado.</w:t>
      </w:r>
    </w:p>
    <w:p>
      <w:pPr>
        <w:spacing w:after="60"/>
        <w:ind w:left="360" w:hanging="259"/>
      </w:pPr>
      <w:r>
        <w:t>6. La recuperación conserva los eventos anteriores y permite comprobar la duración del incidente.</w:t>
      </w:r>
    </w:p>
    <w:p>
      <w:r>
        <w:rPr>
          <w:b/>
        </w:rPr>
        <w:t>Flujos alternos y excepciones</w:t>
      </w:r>
    </w:p>
    <w:p>
      <w:pPr>
        <w:pStyle w:val="ListBullet"/>
      </w:pPr>
      <w:r>
        <w:t>Una dependencia no aplicable se identifica como tal y no se reporta falsamente como saludable.</w:t>
      </w:r>
    </w:p>
    <w:p>
      <w:pPr>
        <w:pStyle w:val="ListBullet"/>
      </w:pPr>
      <w:r>
        <w:t>La indisponibilidad del monitoreo no detiene las funciones propias de los servicios supervisados.</w:t>
      </w:r>
    </w:p>
    <w:p>
      <w:pPr>
        <w:pStyle w:val="ListBullet"/>
      </w:pPr>
      <w:r>
        <w:t>Las señales operativas no incluyen datos clínicos, tokens, secretos, ubicaciones o fotografías innecesarias.</w:t>
      </w:r>
    </w:p>
    <w:p>
      <w:pPr>
        <w:pStyle w:val="ListBullet"/>
      </w:pPr>
      <w:r>
        <w:t>Los avisos repetidos se agrupan o relacionan sin perder la duración ni los cambios de estado.</w:t>
      </w:r>
    </w:p>
    <w:p>
      <w:r>
        <w:rPr>
          <w:b/>
        </w:rPr>
        <w:t>Trazabilidad principal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567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8567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Identificadores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RF-MON-001, RF-MON-002, RF-MON-003, RF-MON-004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RNF-MS-004, RNF-MS-005, RNF-INF-007, RNF-MON-001, RNF-MON-002, RNF-MON-003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HU/HE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HU-MON-001, HU-MON-002, HE-MON-001, HE-INF-002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</w:t>
            </w:r>
          </w:p>
        </w:tc>
        <w:tc>
          <w:tcPr>
            <w:tcW w:type="dxa" w:w="856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No existe una regla de negocio específica; aplican los controles técnicos y de seguridad transversales.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7. Cobertura incremental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Incremento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Casos de uso considerados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Menlo" w:hAnsi="Menlo" w:eastAsia="Menlo"/>
                <w:sz w:val="19"/>
              </w:rPr>
              <w:t>CU-01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 w:eastAsia="Menlo"/>
                <w:sz w:val="19"/>
              </w:rPr>
              <w:t>CU-02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 w:eastAsia="Menlo"/>
                <w:sz w:val="19"/>
              </w:rPr>
              <w:t>CU-03</w:t>
            </w:r>
            <w:r>
              <w:rPr>
                <w:sz w:val="19"/>
              </w:rPr>
              <w:t xml:space="preserve">, flujo sanguíneo inicial de </w:t>
            </w:r>
            <w:r>
              <w:rPr>
                <w:rFonts w:ascii="Menlo" w:hAnsi="Menlo" w:eastAsia="Menlo"/>
                <w:sz w:val="19"/>
              </w:rPr>
              <w:t>CU-04</w:t>
            </w:r>
            <w:r>
              <w:rPr>
                <w:sz w:val="19"/>
              </w:rPr>
              <w:t xml:space="preserve">, panel básico de </w:t>
            </w:r>
            <w:r>
              <w:rPr>
                <w:rFonts w:ascii="Menlo" w:hAnsi="Menlo" w:eastAsia="Menlo"/>
                <w:sz w:val="19"/>
              </w:rPr>
              <w:t>CU-12</w:t>
            </w:r>
            <w:r>
              <w:rPr>
                <w:sz w:val="19"/>
              </w:rPr>
              <w:t xml:space="preserve"> y alcance básico de </w:t>
            </w:r>
            <w:r>
              <w:rPr>
                <w:rFonts w:ascii="Menlo" w:hAnsi="Menlo" w:eastAsia="Menlo"/>
                <w:sz w:val="19"/>
              </w:rPr>
              <w:t>CU-14</w:t>
            </w:r>
            <w:r>
              <w:rPr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Segundo parcial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rFonts w:ascii="Menlo" w:hAnsi="Menlo" w:eastAsia="Menlo"/>
                <w:sz w:val="19"/>
              </w:rPr>
              <w:t>CU-05</w:t>
            </w:r>
            <w:r>
              <w:rPr>
                <w:sz w:val="19"/>
              </w:rPr>
              <w:t xml:space="preserve"> a </w:t>
            </w:r>
            <w:r>
              <w:rPr>
                <w:rFonts w:ascii="Menlo" w:hAnsi="Menlo" w:eastAsia="Menlo"/>
                <w:sz w:val="19"/>
              </w:rPr>
              <w:t>CU-11</w:t>
            </w:r>
            <w:r>
              <w:rPr>
                <w:sz w:val="19"/>
              </w:rPr>
              <w:t xml:space="preserve"> y </w:t>
            </w:r>
            <w:r>
              <w:rPr>
                <w:rFonts w:ascii="Menlo" w:hAnsi="Menlo" w:eastAsia="Menlo"/>
                <w:sz w:val="19"/>
              </w:rPr>
              <w:t>CU-13</w:t>
            </w:r>
            <w:r>
              <w:rPr>
                <w:sz w:val="19"/>
              </w:rPr>
              <w:t>, junto con la ampliación distribuida de los casos transversales.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Tercer parcial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 xml:space="preserve">Integración completa de </w:t>
            </w:r>
            <w:r>
              <w:rPr>
                <w:rFonts w:ascii="Menlo" w:hAnsi="Menlo" w:eastAsia="Menlo"/>
                <w:sz w:val="19"/>
              </w:rPr>
              <w:t>CU-08</w:t>
            </w:r>
            <w:r>
              <w:rPr>
                <w:sz w:val="19"/>
              </w:rPr>
              <w:t xml:space="preserve"> a </w:t>
            </w:r>
            <w:r>
              <w:rPr>
                <w:rFonts w:ascii="Menlo" w:hAnsi="Menlo" w:eastAsia="Menlo"/>
                <w:sz w:val="19"/>
              </w:rPr>
              <w:t>CU-15</w:t>
            </w:r>
            <w:r>
              <w:rPr>
                <w:sz w:val="19"/>
              </w:rPr>
              <w:t>, algoritmos, nube, monitoreo, volumen y recuperación ante fallos.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Entrega final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Regresión y demostración integral de los quince casos conforme al alcance implementado.</w:t>
            </w:r>
          </w:p>
        </w:tc>
      </w:tr>
    </w:tbl>
    <w:p>
      <w:pPr>
        <w:spacing w:after="0"/>
      </w:pPr>
    </w:p>
    <w:p>
      <w:r>
        <w:t>La inclusión de un caso en un incremento posterior no autoriza a anticipar reglas clínicas sin validar. Del mismo modo, documentar el alcance completo no implica que todos los casos estén implementados en el primer parcial.</w:t>
      </w:r>
    </w:p>
    <w:p>
      <w:pPr>
        <w:pStyle w:val="Heading1"/>
      </w:pPr>
      <w:r>
        <w:t>8. Criterio de mantenimiento</w:t>
      </w:r>
    </w:p>
    <w:p>
      <w:r>
        <w:t>Un cambio de requerimiento, historia, regla, perfil o arquitectura deberá revisarse contra los casos relacionados y contra la matriz de trazabilidad integral. Se conservarán los identificadores de los casos mientras su objetivo permanezca estable; una modificación material del objetivo deberá registrarse como una nueva versión para no alterar retrospectivamente la evidencia de pruebas o decisiones ya documentadas.</w:t>
      </w:r>
    </w:p>
    <w:sectPr w:rsidR="00FC693F" w:rsidRPr="0006063C" w:rsidSect="00034616">
      <w:footerReference w:type="default" r:id="rId9"/>
      <w:pgSz w:w="12240" w:h="15840"/>
      <w:pgMar w:top="979" w:right="1008" w:bottom="97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374151"/>
        <w:sz w:val="17"/>
      </w:rPr>
      <w:t xml:space="preserve">Equipo 01  ·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991B1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7F1D1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 w:eastAsia="Arial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Arial" w:hAnsi="Arial" w:eastAsia="Arial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principales</dc:title>
  <dc:subject>Proyecto 6: Red regional de bancos de sangre y donación de órganos</dc:subject>
  <dc:creator>Equipo 01</dc:creator>
  <cp:keywords/>
  <dc:description>Línea base documental del proyecto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