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8" w:space="6" w:color="9FBAD0"/>
        </w:pBdr>
      </w:pPr>
      <w:r>
        <w:t>Diseño arquitectónico</w:t>
      </w:r>
    </w:p>
    <w:p>
      <w:pPr>
        <w:spacing w:after="180"/>
      </w:pPr>
      <w:r>
        <w:rPr>
          <w:i/>
        </w:rPr>
        <w:t>Revisión documental — 14 de octubre de 2026: documento de referencia para el alcance y la planificación del semestre. Las fases y fechas originales expresan la secuencia prevista, no el estado de implementación. El portal integrado, los microservicios, PostgreSQL, MongoDB y Redis ya tienen operación local; Android, escritorio, Docker y GCP siguen pendientes. PROJECT_STATUS.md registra el avance comprobado. La arquitectura ejecutable se describe en documentation/markdowns/Arquitectura.md y la persistencia en documentation/markdowns/Datos_y_persistencia.md. El reporte integral de septiembre conserva una entrega anterior.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Proyecto:</w:t>
            </w:r>
            <w:r>
              <w:rPr>
                <w:sz w:val="19"/>
              </w:rPr>
              <w:t xml:space="preserve"> Red regional de bancos de sangre y donación de órganos — Equipo 01.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Versión:</w:t>
            </w:r>
            <w:r>
              <w:rPr>
                <w:sz w:val="19"/>
              </w:rPr>
              <w:t xml:space="preserve"> diseño arquitectónico inicial del semestre.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Fecha:</w:t>
            </w:r>
            <w:r>
              <w:rPr>
                <w:sz w:val="19"/>
              </w:rPr>
              <w:t xml:space="preserve"> 7 de septiembre de 2026.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Cobertura:</w:t>
            </w:r>
            <w:r>
              <w:rPr>
                <w:sz w:val="19"/>
              </w:rPr>
              <w:t xml:space="preserve"> arquitectura objetivo de todo el semestre, con implementación gradual por parciales.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Notación:</w:t>
            </w:r>
            <w:r>
              <w:rPr>
                <w:sz w:val="19"/>
              </w:rPr>
              <w:t xml:space="preserve"> vistas de contexto, contenedores y componentes inspiradas en C4; secuencias y topologías expresadas con Mermaid.</w:t>
            </w:r>
          </w:p>
        </w:tc>
      </w:tr>
    </w:tbl>
    <w:p>
      <w:pPr>
        <w:spacing w:after="0"/>
      </w:pPr>
    </w:p>
    <w:p>
      <w:pPr>
        <w:pStyle w:val="Heading1"/>
      </w:pPr>
      <w:r>
        <w:t>1. Propósito y alcance</w:t>
      </w:r>
    </w:p>
    <w:p>
      <w:r>
        <w:t>La arquitectura organiza una plataforma regional compuesta por un sistema web empresarial, un módulo independiente de microservicios, una aplicación móvil Android y una aplicación de escritorio. Los cuatro productos comparten contratos, identidad, reglas y fuentes de información autorizadas, pero conservan responsabilidades y ciclos de despliegue separados.</w:t>
      </w:r>
    </w:p>
    <w:p>
      <w:r>
        <w:t>El diseño cubre el alcance completo del semestre. Su implementación será incremental: el primer parcial establecerá una base web ejecutable y la infraestructura local mínima; los componentes distribuidos, las aplicaciones cliente, el despliegue en Google Cloud, los algoritmos y las pruebas de volumen se incorporarán en etapas posteriores. Los diagramas representan la arquitectura objetivo y la sección 15 delimita la incorporación prevista de cada componente.</w:t>
      </w:r>
    </w:p>
    <w:p>
      <w:r>
        <w:t>La plataforma apoyará la coordinación, la compatibilidad, la priorización, la asignación y el traslado, sin sustituir las decisiones médicas, éticas o normativas. Las reglas clínicas y regulatorias deberán validarse, versionarse y auditarse antes de utilizarse con datos o procesos reales.</w:t>
      </w:r>
    </w:p>
    <w:p>
      <w:pPr>
        <w:pStyle w:val="Heading2"/>
      </w:pPr>
      <w:r>
        <w:t>1.1 Alcance por fase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5083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Alcance arquitectónico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Primer parcial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Sistema web modular con página pública y portal privado; autenticación JWT básica; Administrador, Operador de banco de sangre y Auditor; menú y panel principal básico por perfil inicial; administración de instituciones y tipos de componentes sanguíneos; inventario sanguíneo ficticio con caducidad demostrativa; PostgreSQL y auditoría básica en un entorno local documentado sin contenedores.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Posterior — segundo parcial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Microservicios Flask REST versionados; respuestas JSON y XML; OpenAPI/Swagger y XSD; perfiles restantes; ampliación web; aplicación Android; aplicación de escritorio; diseño detallado y uso funcional de MongoDB y Redis; Dockerfiles, Docker Compose y contenedores independientes; contratos y seguridad distribuida.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Posterior — tercer parcial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Despliegue en Google Compute Engine; Google Cloud Storage; monitoreo; algoritmos explicables; tres flujos integrales; datos de volumen; Locust; pruebas de fallos, rendimiento y recuperación.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Transversal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Separación de responsabilidades, autorización por perfil y ámbito, protección de datos, trazabilidad, auditoría, manejo seguro de errores, contratos versionados, pruebas y documentación coherente con cada incremento.</w:t>
            </w:r>
          </w:p>
        </w:tc>
      </w:tr>
    </w:tbl>
    <w:p>
      <w:pPr>
        <w:spacing w:after="0"/>
      </w:pPr>
    </w:p>
    <w:p>
      <w:pPr>
        <w:pStyle w:val="Heading1"/>
      </w:pPr>
      <w:r>
        <w:t>2. Impulsores y principios arquitectónicos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Impulsor</w:t>
            </w:r>
          </w:p>
        </w:tc>
        <w:tc>
          <w:tcPr>
            <w:tcW w:type="dxa" w:w="5083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Respuesta arquitectónica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Alcance funcional y tecnológico amplio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Construcción por cortes verticales, reutilización de contratos y un núcleo inicial ejecutable; los servicios opcionales se incorporan únicamente cuando una necesidad comprobada los justifica.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Cuatro productos desacoplados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Interfaces explícitas y versionadas; el sistema web no depende de las aplicaciones móvil o de escritorio y cada cliente conserva su propio ciclo de publicación.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Consumidores con formatos distintos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Semántica común con representación JSON para Android y XML validado con XSD para escritorio; los microservicios producen ambos formatos.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Información personal y clínica sensible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Autenticación central, autorización por perfil, acción, recurso y ámbito institucional; mínimo privilegio, minimización y auditoría de accesos sensibles.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Recursos perecederos y asignaciones concurrentes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Estados controlados, historial, restricciones transaccionales y bloqueos temporales para evitar inventarios contradictorios o doble asignación.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Decisiones clínicas y logísticas explicables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Reglas y resultados versionados, factores visibles, evidencia de la intervención humana y conservación del cálculo original.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Integración regional y fallos parciales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Servicios con límites claros, timeouts, reintentos seguros, idempotencia cuando corresponda, health checks y degradación controlada.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Datos con estructuras y ciclos de vida diferentes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PostgreSQL para transacciones, MongoDB para documentos e historiales flexibles, Redis para información temporal y Google Cloud Storage para archivos.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Sangre y órganos con reglas distintas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Modelos, estados y reglas especializados dentro de fronteras explícitas; no se reutilizan automáticamente criterios de un recurso en el otro.</w:t>
            </w:r>
          </w:p>
        </w:tc>
      </w:tr>
    </w:tbl>
    <w:p>
      <w:pPr>
        <w:spacing w:after="0"/>
      </w:pPr>
    </w:p>
    <w:p>
      <w:r>
        <w:t>Los principios aplicables a todas las vistas son:</w:t>
      </w:r>
    </w:p>
    <w:p>
      <w:pPr>
        <w:pStyle w:val="ListBullet"/>
      </w:pPr>
      <w:r>
        <w:t>Ninguna aplicación cliente accede directamente a PostgreSQL, MongoDB o Redis.</w:t>
      </w:r>
    </w:p>
    <w:p>
      <w:pPr>
        <w:pStyle w:val="ListBullet"/>
      </w:pPr>
      <w:r>
        <w:t>Los microservicios no dependen de vistas, plantillas ni sesiones internas del sistema web.</w:t>
      </w:r>
    </w:p>
    <w:p>
      <w:pPr>
        <w:pStyle w:val="ListBullet"/>
      </w:pPr>
      <w:r>
        <w:t>Cada dato tiene un único propietario autoritativo, aunque varias aplicaciones puedan consultarlo con autorización.</w:t>
      </w:r>
    </w:p>
    <w:p>
      <w:pPr>
        <w:pStyle w:val="ListBullet"/>
      </w:pPr>
      <w:r>
        <w:t>La autorización se aplica en cada petición protegida; el punto de entrada no reemplaza los controles de cada servicio.</w:t>
      </w:r>
    </w:p>
    <w:p>
      <w:pPr>
        <w:pStyle w:val="ListBullet"/>
      </w:pPr>
      <w:r>
        <w:t>Las reglas clínicas o regulatorias pendientes solo pueden representarse mediante configuraciones demostrativas claramente identificadas y no constituyen criterios autorizados para procesos sanitarios.</w:t>
      </w:r>
    </w:p>
    <w:p>
      <w:pPr>
        <w:pStyle w:val="ListBullet"/>
      </w:pPr>
      <w:r>
        <w:t>La observabilidad no debe detener las operaciones que supervisa ni exponer información sensible.</w:t>
      </w:r>
    </w:p>
    <w:p>
      <w:pPr>
        <w:pStyle w:val="Heading1"/>
      </w:pPr>
      <w:r>
        <w:t>3. Estilo arquitectónico y decisiones principales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Justificación y condición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DA-01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Utilizar una arquitectura incremental: sistema web modular en el primer parcial y servicios distribuidos en etapas posteriores.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Permite disponer de un núcleo operativo temprano sin duplicar desde el inicio toda la infraestructura. Los límites internos del web coinciden con los dominios que después expondrán servicios.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DA-02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Mantener el sistema web como núcleo administrativo y de coordinación.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El navegador recibe HTML generado con Flask y Jinja2; el web conserva sitio público, administración, navegación, paneles, reportes y orquestación de la experiencia. No depende de que Android o escritorio estén disponibles.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DA-03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Exponer las capacidades compartidas mediante microservicios Flask REST versionados y contenedores independientes.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Móvil, escritorio y web posterior utilizan la misma lógica de negocio autorizada sin replicarla. Cada servicio puede probarse, desplegarse y actualizarse por separado.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DA-04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Conservar las diez responsabilidades de dominio indicadas y agrupar inicialmente priorización y geografía en una sola unidad de despliegue.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La distancia y el tiempo son entradas directas del ranking. La agrupación reduce la complejidad operativa inicial, mantiene módulos y contratos distinguibles y puede separarse si las mediciones lo justifican.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DA-05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Incorporar identidad y acceso como capacidad técnica compartida.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Las aplicaciones cliente no pueden utilizar la sesión interna del web. El componente emite y renueva JWT, administra sesiones y revocaciones en Redis y proporciona una validación común.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DA-06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Usar REST síncrono como mecanismo base de integración.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Proporciona comunicación directa y contratos verificables con una infraestructura inicial acotada. Una cola o Pub/Sub se evaluará cuando las alertas, la telemetría o los reintentos durables requieran desacoplamiento asíncrono.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DA-07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Compartir inicialmente las instancias de datos, pero separar propiedad lógica, esquemas, colecciones, claves y credenciales por servicio.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Reduce costo y operación sin permitir escrituras cruzadas. Compartir infraestructura no equivale a compartir la propiedad del dato.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DA-08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Desplegar una línea base contenida en Google Compute Engine.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Tres grupos de cómputo —entrada/web, servicios y datos— proporcionan separación suficiente para el proyecto; la alta disponibilidad y el clúster quedan condicionados a resultados de carga y riesgo.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DA-09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Mantener decisiones clínicas y asignaciones definitivas bajo intervención humana autorizada.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Los servicios calculan y explican alternativas; no confirman automáticamente elegibilidad, urgencia, compatibilidad clínica o asignación cuando se requiere autorización.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DA-10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Versionar contratos y reglas sin alterar operaciones históricas.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Cada evaluación, ranking, asignación y evento auditable conserva la versión aplicada, los factores pertinentes y su relación con la decisión humana.</w:t>
            </w:r>
          </w:p>
        </w:tc>
      </w:tr>
    </w:tbl>
    <w:p>
      <w:pPr>
        <w:spacing w:after="0"/>
      </w:pPr>
    </w:p>
    <w:p>
      <w:r>
        <w:t>La tecnología de Android se seleccionará entre Java y Kotlin, y la aplicación de escritorio empleará una de las alternativas autorizadas para el proyecto. Ambas selecciones se formalizarán antes del desarrollo de los clientes y no modifican los límites, contratos ni responsabilidades definidos en la arquitectura.</w:t>
      </w:r>
    </w:p>
    <w:p>
      <w:pPr>
        <w:pStyle w:val="Heading1"/>
      </w:pPr>
      <w:r>
        <w:t>4. Diagrama de contexto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6263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contexto.s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374151"/>
          <w:sz w:val="18"/>
        </w:rPr>
        <w:t>Figura 1. Diagrama de contexto de la plataforma regional.</w:t>
      </w:r>
    </w:p>
    <w:p>
      <w:r>
        <w:t>El receptor o paciente es una persona central del dominio, pero no constituye por defecto un usuario con acceso directo. Su información es administrada por personal autorizado y cualquier acceso futuro deberá definirse expresamente. Las instituciones participan como ámbitos de operación y como fuente de disponibilidad; su información se administra una sola vez y se utiliza como referencia en los demás procesos.</w:t>
      </w:r>
    </w:p>
    <w:p>
      <w:r>
        <w:t>La vista mantiene abstractas la fuente geográfica y los canales de notificación. Su selección precederá a la integración y deberá respetar los contratos, la protección de datos y las reglas validadas, sin presuponer proveedores ni métodos de cálculo.</w:t>
      </w:r>
    </w:p>
    <w:p>
      <w:pPr>
        <w:pStyle w:val="Heading1"/>
      </w:pPr>
      <w:r>
        <w:t>5. Diagrama de contenedores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6263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ontenedores.sv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374151"/>
          <w:sz w:val="18"/>
        </w:rPr>
        <w:t>Figura 2. Diagrama de contenedores y relaciones principales.</w:t>
      </w:r>
    </w:p>
    <w:p>
      <w:r>
        <w:t>La agrupación visual no fusiona contenedores: donantes y receptores se despliegan por separado; inventario, compatibilidad y priorización/geografía son tres unidades; transporte, custodia y alertas son tres unidades. El servicio de monitoreo consulta a los demás, pero su indisponibilidad no interrumpe las operaciones de negocio.</w:t>
      </w:r>
    </w:p>
    <w:p>
      <w:r>
        <w:t>La configuración ejecutable del primer parcial comprende el sistema web y PostgreSQL instalados localmente mediante dependencias y variables documentadas, sin MongoDB, Redis ni contenedores Docker. A partir del segundo parcial se incorporan Docker Compose, los almacenes complementarios y los contenedores independientes. Cuando una responsabilidad se publique como microservicio, el web utilizará su contrato y dejará de ser un segundo escritor de esos datos.</w:t>
      </w:r>
    </w:p>
    <w:p>
      <w:pPr>
        <w:pStyle w:val="Heading1"/>
      </w:pPr>
      <w:r>
        <w:t>6. Diagrama de componentes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6263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omponentes.sv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374151"/>
          <w:sz w:val="18"/>
        </w:rPr>
        <w:t>Figura 3. Componentes internos del sistema web y patrón común de los microservicios.</w:t>
      </w:r>
    </w:p>
    <w:p>
      <w:pPr>
        <w:pStyle w:val="Heading2"/>
      </w:pPr>
      <w:r>
        <w:t>6.1 Responsabilidades del sistema web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Fase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Sitio público y portal privado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Presentar información pública, autenticación, navegación y contenido conforme al perfil.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Primer parcial y Transversal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Identidad y autorización web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Aplicar JWT, sesión, revocación, perfil, acción, recurso y ámbito institucional. En etapas posteriores delegará la emisión y validación común al componente de identidad sin compartir la sesión interna.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Primer parcial y Transversal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Administración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Gestionar usuarios, perfiles, instituciones, sedes, catálogos y configuración autorizada. La institución es una entidad administrable y la fuente de referencia para otros procesos.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Primer parcial y Posterior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Procesos operativos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Ofrecer las pantallas de inventario del MVP y, posteriormente, donantes, receptores, solicitudes, estudios, asignaciones, traslados y custodia mediante servicios compartidos.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Primer parcial y Posterior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Paneles y reportes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Mostrar un panel básico por perfil inicial y evolucionar hacia el panel regional, reportes, filtros y gráficas Highcharts.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Primer parcial y Posterior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Archivos y evidencias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Solicitar cargas o descargas autorizadas y administrar sus metadatos; los binarios privados permanecen en Google Cloud Storage.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Posterior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Auditoría y supervisión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Permitir búsquedas de solo lectura para el Auditor y vistas autorizadas de actividad, sin modificar los eventos.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Primer parcial y Posterior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Adaptadores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Encapsular el acceso a repositorios propios y a contratos REST, evitando que las vistas contengan reglas o consultas directas.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Transversal</w:t>
            </w:r>
          </w:p>
        </w:tc>
      </w:tr>
    </w:tbl>
    <w:p>
      <w:pPr>
        <w:spacing w:after="0"/>
      </w:pPr>
    </w:p>
    <w:p>
      <w:pPr>
        <w:pStyle w:val="Heading2"/>
      </w:pPr>
      <w:r>
        <w:t>6.2 Catálogo de servicios y propietarios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Unidad de despliegue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Responsabilidad principal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Datos autoritativos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ms-identidad-acceso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Autenticación, renovación, revocación, perfiles, permisos, ámbitos y referencia institucional.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Credenciales protegidas, usuarios, perfiles, permisos, sesiones y ámbitos; administración institucional después de su transición desde el MVP.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ms-donantes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Registro preliminar y expediente autorizado del donante; campañas, citas y estados relacionados con su flujo.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Donantes, consentimientos estructurados, campañas y citas autorizadas.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ms-receptores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Expediente del receptor y ciclo de vida de solicitudes ordinarias o urgentes.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Receptores, participación en listas y solicitudes.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ms-inventario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Inventario sanguíneo, disponibilidad especializada de órganos, movimientos, caducidad, reservas, asignaciones y análisis operativo de caducidad o balanceo.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Recursos, unidades, existencias, estados, movimientos, reservas y asignaciones.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ms-compatibilidad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Evaluaciones de compatibilidad sanguínea o HLA con reglas validadas, datos faltantes, versión y explicación.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Ejecuciones y resultados de compatibilidad; no es propietario de los expedientes fuente.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ms-priorizacion-geografia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Ranking multicriterio y comparación u optimización por distancia y tiempo; mantiene módulos y contratos lógicos diferenciados.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Ejecuciones de ranking, factores, versiones y cálculos geográficos con su procedencia.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ms-transporte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Órdenes, planeación, asignación logística, incidencias, ubicación reciente y seguimiento.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Órdenes de traslado, estado logístico, incidencias y telemetría autorizada.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ms-custodia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Eventos inmutables de recolección, entrega y transferencia, con responsable, tiempo, condición y evidencia.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Secuencia de custodia y referencias a evidencias.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ms-alertas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Generación, destinatarios, deduplicación, entrega y cierre de alertas autorizadas.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Alertas, destinatarios y estados de atención.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ms-auditoria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Recepción, normalización y consulta de eventos de autenticación, acceso, cambios, algoritmos y decisiones.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Registro auditable y referencias de correlación, sin convertirse en propietario del hecho de negocio original.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servicio-monitoreo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Consulta periódica de salud, cálculo de disponibilidad y avisos de caída, degradación o recuperación.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Historial técnico de verificaciones y estado operativo.</w:t>
            </w:r>
          </w:p>
        </w:tc>
      </w:tr>
    </w:tbl>
    <w:p>
      <w:pPr>
        <w:spacing w:after="0"/>
      </w:pPr>
    </w:p>
    <w:p>
      <w:r>
        <w:t>Las diez responsabilidades de dominio del proyecto permanecen representadas. Priorización y geografía comparten inicialmente una unidad por su cohesión; transporte y cadena de custodia continúan separados porque una orden logística puede cambiar mientras los eventos de custodia deben conservarse sin modificación.</w:t>
      </w:r>
    </w:p>
    <w:p>
      <w:r>
        <w:t>Cada servicio accede únicamente a sus esquemas, colecciones, prefijos y claves. La consulta de datos administrados por otro servicio se realiza mediante un contrato, no mediante escrituras en su almacenamiento.</w:t>
      </w:r>
    </w:p>
    <w:p>
      <w:pPr>
        <w:pStyle w:val="Heading1"/>
      </w:pPr>
      <w:r>
        <w:t>7. Diagrama de comunicación entre aplicaciones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6263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comunicacion.sv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374151"/>
          <w:sz w:val="18"/>
        </w:rPr>
        <w:t>Figura 4. Comunicación entre aplicaciones, servicios y almacenes.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Emisor y receptor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Contrato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Restricción principal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Navegador y sistema web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HTTPS; HTML generado con Jinja2, formularios y JavaScript.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El navegador no conoce credenciales de bases ni consulta almacenes directamente.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Android y microservicios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HTTPS REST versionado; solicitudes y respuestas JSON.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Android consume exclusivamente JSON, valida la respuesta y no comparte la sesión interna del web.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Escritorio y microservicios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HTTPS REST versionado; solicitudes y respuestas XML.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XML se valida con XSD donde corresponda y el parser deshabilita entidades externas para prevenir XXE.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Sistema web y microservicios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HTTPS REST versionado; representación JSON para las capacidades compartidas.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El web conserva su interfaz y orquestación; no duplica la lógica publicada por los servicios.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Entre microservicios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Contratos internos versionados, autenticados y correlacionados.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 se permiten dependencias circulares ni escrituras directas en datos ajenos.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Servicios y Google Cloud Storage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HTTPS y URLs firmadas de vigencia limitada.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El binario no atraviesa ni se almacena innecesariamente en la base; se conserva referencia, hash y metadatos.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Aplicación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Servicios de consumo directo previstos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Cobertura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Android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ms-identidad-acceso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 w:eastAsia="Menlo"/>
                <w:sz w:val="16"/>
              </w:rPr>
              <w:t>ms-donantes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 w:eastAsia="Menlo"/>
                <w:sz w:val="16"/>
              </w:rPr>
              <w:t>ms-transporte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 w:eastAsia="Menlo"/>
                <w:sz w:val="16"/>
              </w:rPr>
              <w:t>ms-custodia</w:t>
            </w:r>
            <w:r>
              <w:rPr>
                <w:sz w:val="16"/>
              </w:rPr>
              <w:t xml:space="preserve"> y </w:t>
            </w:r>
            <w:r>
              <w:rPr>
                <w:rFonts w:ascii="Menlo" w:hAnsi="Menlo" w:eastAsia="Menlo"/>
                <w:sz w:val="16"/>
              </w:rPr>
              <w:t>ms-alertas</w:t>
            </w:r>
            <w:r>
              <w:rPr>
                <w:sz w:val="16"/>
              </w:rPr>
              <w:t>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 los flujos diferenciados del Donante y del Personal de traslado y utiliza únicamente JSON.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Escritorio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ms-identidad-acceso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 w:eastAsia="Menlo"/>
                <w:sz w:val="16"/>
              </w:rPr>
              <w:t>ms-inventario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 w:eastAsia="Menlo"/>
                <w:sz w:val="16"/>
              </w:rPr>
              <w:t>ms-compatibilidad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 w:eastAsia="Menlo"/>
                <w:sz w:val="16"/>
              </w:rPr>
              <w:t>ms-priorizacion-geografia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 w:eastAsia="Menlo"/>
                <w:sz w:val="16"/>
              </w:rPr>
              <w:t>ms-transporte</w:t>
            </w:r>
            <w:r>
              <w:rPr>
                <w:sz w:val="16"/>
              </w:rPr>
              <w:t xml:space="preserve"> y </w:t>
            </w:r>
            <w:r>
              <w:rPr>
                <w:rFonts w:ascii="Menlo" w:hAnsi="Menlo" w:eastAsia="Menlo"/>
                <w:sz w:val="16"/>
              </w:rPr>
              <w:t>ms-custodia</w:t>
            </w:r>
            <w:r>
              <w:rPr>
                <w:sz w:val="16"/>
              </w:rPr>
              <w:t>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Integra captura intensiva, revisión, impresión, custodia y reportes, y utiliza únicamente XML validado.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Sistema web posterior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ms-identidad-acceso</w:t>
            </w:r>
            <w:r>
              <w:rPr>
                <w:sz w:val="16"/>
              </w:rPr>
              <w:t xml:space="preserve"> y los servicios de dominio requeridos por cada pantalla o proceso autorizado.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Mantiene la experiencia administrativa y regional sin depender de las aplicaciones cliente ni duplicar reglas publicadas.</w:t>
            </w:r>
          </w:p>
        </w:tc>
      </w:tr>
    </w:tbl>
    <w:p>
      <w:pPr>
        <w:spacing w:after="0"/>
      </w:pPr>
    </w:p>
    <w:p>
      <w:r>
        <w:t>Los microservicios deberán producir respuestas tanto en JSON como en XML. Una misma operación tendrá significado equivalente en ambas representaciones. Los nombres, tipos, campos requeridos, estados, errores y códigos HTTP se definirán en OpenAPI/Swagger; la representación XML añadirá el XSD verificable. Un formato no habilitará operaciones o datos que el otro consumidor no pueda obtener con la misma autorización.</w:t>
      </w:r>
    </w:p>
    <w:p>
      <w:pPr>
        <w:pStyle w:val="Heading1"/>
      </w:pPr>
      <w:r>
        <w:t>8. Diagrama de autenticación y autorización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6263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autenticacion.sv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374151"/>
          <w:sz w:val="18"/>
        </w:rPr>
        <w:t>Figura 5. Flujo común de autenticación, autorización, renovación y revocación.</w:t>
      </w:r>
    </w:p>
    <w:p>
      <w:r>
        <w:t>Durante el primer parcial, el componente de identidad reside dentro del sistema web y aplica hash seguro, JWT básico con expiración y autorización por perfil y ámbito, sin depender de Redis. A partir del segundo parcial se publica como servicio común e incorpora sesiones, renovación y revocación mediante Redis para que Android y escritorio no dependan de las sesiones privadas del web.</w:t>
      </w:r>
    </w:p>
    <w:p>
      <w:r>
        <w:t>La autorización se deniega por defecto y exige la combinación de identidad activa, perfil, acción, recurso y ámbito institucional. El Administrador no obtiene acceso clínico por administrar cuentas; las decisiones médicas requieren el perfil y la acreditación definidos. Los intentos fallidos, accesos sensibles, cambios de permisos, renovaciones y revocaciones se auditan sin registrar contraseñas, tokens completos ni secretos.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Cliente</w:t>
            </w:r>
          </w:p>
        </w:tc>
        <w:tc>
          <w:tcPr>
            <w:tcW w:type="dxa" w:w="5083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Protección local prevista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Sistema web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Token o identificador de sesión mediante mecanismo seguro del navegador, con atributos de seguridad apropiados y sin exposición a scripts cuando no sea necesaria.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Android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Almacenamiento seguro provisto por el sistema operativo; eliminación de credenciales locales al cerrar sesión.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Escritorio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Almacenamiento protegido por el sistema operativo o mecanismo equivalente de la tecnología seleccionada; limpieza al cerrar sesión.</w:t>
            </w:r>
          </w:p>
        </w:tc>
      </w:tr>
    </w:tbl>
    <w:p>
      <w:pPr>
        <w:spacing w:after="0"/>
      </w:pPr>
    </w:p>
    <w:p>
      <w:r>
        <w:t>Los parámetros de duración para acceso, renovación, bloqueo y revocación se definirán en la especificación de seguridad conforme al riesgo y a las políticas aprobadas. La arquitectura establece los mecanismos y reserva sus valores concretos para dicha especificación.</w:t>
      </w:r>
    </w:p>
    <w:p>
      <w:pPr>
        <w:pStyle w:val="Heading1"/>
      </w:pPr>
      <w:r>
        <w:t>9. Diagramas de secuencia de los procesos principales</w:t>
      </w:r>
    </w:p>
    <w:p>
      <w:pPr>
        <w:pStyle w:val="Heading2"/>
      </w:pPr>
      <w:r>
        <w:t>9.1 Proceso del primer parcial: inventario sanguíneo ficticio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62636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secuencia_mvp.sv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374151"/>
          <w:sz w:val="18"/>
        </w:rPr>
        <w:t>Figura 6. Secuencia del proceso principal demostrable en el primer parcial.</w:t>
      </w:r>
    </w:p>
    <w:p>
      <w:r>
        <w:t>La caducidad del MVP utiliza un parámetro demostrativo identificado y datos ficticios. El proceso no evalúa compatibilidad clínica, HLA, órganos ni asignaciones reales. La transacción conserva el estado de la unidad, el movimiento y el evento básico de auditoría de forma consistente.</w:t>
      </w:r>
    </w:p>
    <w:p>
      <w:pPr>
        <w:pStyle w:val="Heading2"/>
      </w:pPr>
      <w:r>
        <w:t>9.2 Flujo integral FI-01: donante, campaña, cita y aviso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6263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ecuencia_donante.sv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374151"/>
          <w:sz w:val="18"/>
        </w:rPr>
        <w:t>Figura 7. Secuencia objetivo del registro preliminar, cita y aviso al donante.</w:t>
      </w:r>
    </w:p>
    <w:p>
      <w:r>
        <w:t>El registro preliminar no equivale a elegibilidad. La aplicación muestra el estado emitido después de la revisión autorizada y evita presentar una decisión automática como evaluación profesional.</w:t>
      </w:r>
    </w:p>
    <w:p>
      <w:pPr>
        <w:pStyle w:val="Heading2"/>
      </w:pPr>
      <w:r>
        <w:t>9.3 Flujo integral FI-02: solicitud, compatibilidad y priorización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6263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secuencia_priorizacion.sv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374151"/>
          <w:sz w:val="18"/>
        </w:rPr>
        <w:t>Figura 8. Secuencia objetivo de solicitud, evaluación, ranking y decisión humana.</w:t>
      </w:r>
    </w:p>
    <w:p>
      <w:r>
        <w:t>La urgencia procede de personal autorizado. Compatibilidad y priorización conservan sus cálculos originales y exponen datos faltantes, versión, factores y explicación. La reserva o asignación solo ocurre después de una acción humana permitida y de una comprobación transaccional del inventario.</w:t>
      </w:r>
    </w:p>
    <w:p>
      <w:pPr>
        <w:pStyle w:val="Heading2"/>
      </w:pPr>
      <w:r>
        <w:t>9.4 Flujo integral FI-03: asignación, traslado y cadena de custodia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6263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secuencia_traslado.sv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374151"/>
          <w:sz w:val="18"/>
        </w:rPr>
        <w:t>Figura 9. Secuencia objetivo de traslado, custodia, ubicación y evidencia.</w:t>
      </w:r>
    </w:p>
    <w:p>
      <w:r>
        <w:t>La ubicación reciente es temporal; la telemetría histórica solo se conserva cuando existe finalidad y retención autorizadas. La evidencia se carga de forma privada mediante una URL firmada y la base almacena únicamente sus metadatos y referencia. Las operaciones sin conexión se limitan a eventos previamente definidos como seguros y se sincronizan con una clave idempotente; una asignación o decisión clínica no se confirma fuera de línea.</w:t>
      </w:r>
    </w:p>
    <w:p>
      <w:pPr>
        <w:pStyle w:val="Heading1"/>
      </w:pPr>
      <w:r>
        <w:t>10. Diagrama de almacenamiento de datos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6263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lmacenamiento.sv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374151"/>
          <w:sz w:val="18"/>
        </w:rPr>
        <w:t>Figura 10. Distribución y acceso a los almacenes de datos.</w:t>
      </w:r>
    </w:p>
    <w:p>
      <w:pPr>
        <w:pStyle w:val="Heading2"/>
      </w:pPr>
      <w:r>
        <w:t>10.1 Distribución por tecnología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Almacén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Información prevista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Justificación y límites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Instituciones y sedes; usuarios, perfiles y ámbitos; donantes y receptores; campañas y citas; inventarios separados de sangre y órganos; solicitudes; pruebas estructuradas; reservas y asignaciones; estado de traslados; eventos estructurados de custodia; alertas; auditoría básica; referencias de archivos.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La información es transaccional, relacionada y requiere restricciones, claves, historial y consistencia. Las reservas y asignaciones deben protegerse mediante transacciones, restricciones o bloqueos.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MongoDB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Telemetría autorizada de traslados; documentos e historiales extensos; resultados semiestructurados y explicaciones versionadas; eventos técnicos y de monitoreo cuyo crecimiento o forma flexible lo justifiquen.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Permite documentos evolutivos e historiales con distinta estructura. No sustituye el estado transaccional ni duplica la fuente autoritativa de una entidad relacional.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Redis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Sesiones distribuidas; tokens revocados; permisos y caché autorizada; rate limiting; bloqueos de asignación; contadores y deduplicación; estado temporal de alertas; ubicación reciente y datos temporales de sincronización cuando correspondan.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Los datos tienen vigencia corta o apoyan coordinación. Cada familia de claves tendrá prefijo, propietario y expiración; Redis no es sistema de registro.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Google Cloud Storage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Evidencia fotográfica; documentos y estudios autorizados; reportes, comprobantes y archivos generados; otros binarios cuyo tamaño o ciclo de vida no corresponda a las bases.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Los objetos permanecen privados. PostgreSQL conserva identificador, ruta, tipo, tamaño, propietario, fecha, hash, nivel de privacidad, estado y metadatos pertinentes; la entrega se realiza mediante URL firmada.</w:t>
            </w:r>
          </w:p>
        </w:tc>
      </w:tr>
    </w:tbl>
    <w:p>
      <w:pPr>
        <w:spacing w:after="0"/>
      </w:pPr>
    </w:p>
    <w:p>
      <w:pPr>
        <w:pStyle w:val="Heading2"/>
      </w:pPr>
      <w:r>
        <w:t>10.2 Propiedad autoritativa y transición del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Información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Propietario en el primer parcial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Propietario posterior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Instituciones, usuarios, perfiles y ámbitos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Módulos de administración y seguridad del sistema web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ms-identidad-acceso</w:t>
            </w:r>
            <w:r>
              <w:rPr>
                <w:sz w:val="16"/>
              </w:rPr>
              <w:t>; el web actúa como interfaz administrativa.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Tipos de componentes sanguíneos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Módulo de catálogos del sistema web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ms-inventario</w:t>
            </w:r>
            <w:r>
              <w:rPr>
                <w:sz w:val="16"/>
              </w:rPr>
              <w:t>, que los expone como referencia sin duplicar la entidad institucional.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Unidades, movimientos y estados de inventario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Módulo de inventario web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ms-inventario</w:t>
            </w:r>
            <w:r>
              <w:rPr>
                <w:sz w:val="16"/>
              </w:rPr>
              <w:t>; el web consume su API.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Auditoría básica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Módulo de auditoría web en PostgreSQL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ms-auditoria</w:t>
            </w:r>
            <w:r>
              <w:rPr>
                <w:sz w:val="16"/>
              </w:rPr>
              <w:t>, manteniendo referencias a los hechos de cada propietario.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Datos posteriores del dominio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 se implementan en el MVP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Servicio correspondiente según la tabla de la sección 6.2.</w:t>
            </w:r>
          </w:p>
        </w:tc>
      </w:tr>
    </w:tbl>
    <w:p>
      <w:pPr>
        <w:spacing w:after="0"/>
      </w:pPr>
    </w:p>
    <w:p>
      <w:r>
        <w:t>La transición se realizará sin dos escritores simultáneos: se conservarán identificadores, se suspenderán temporalmente las escrituras del módulo anterior, se verificará la migración y el web cambiará al contrato del servicio. Las instituciones continuarán siendo una sola entidad administrable y se consumirán como catálogo de referencia, no como una copia independiente.</w:t>
      </w:r>
    </w:p>
    <w:p>
      <w:pPr>
        <w:pStyle w:val="Heading1"/>
      </w:pPr>
      <w:r>
        <w:t>11. Diagrama de despliegue</w:t>
      </w:r>
    </w:p>
    <w:p>
      <w:pPr>
        <w:pStyle w:val="Heading2"/>
      </w:pPr>
      <w:r>
        <w:t>11.1 Entorno local reproducible por etapas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6263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despliegue_local.sv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374151"/>
          <w:sz w:val="18"/>
        </w:rPr>
        <w:t>Figura 11. Despliegue local reproducible por etapas.</w:t>
      </w:r>
    </w:p>
    <w:p>
      <w:r>
        <w:t>Durante el primer parcial, el web y PostgreSQL se ejecutan localmente con versiones, dependencias y variables documentadas. A partir del segundo parcial, Docker Compose incorpora PostgreSQL, MongoDB, Redis, el web, el punto de entrada, los microservicios implementados y el monitor, y permite ejecutar únicamente el conjunto relacionado con la capacidad en desarrollo.</w:t>
      </w:r>
    </w:p>
    <w:p>
      <w:pPr>
        <w:pStyle w:val="Heading2"/>
      </w:pPr>
      <w:r>
        <w:t>11.2 Línea base en Google Cloud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6263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despliegue_gcp.sv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374151"/>
          <w:sz w:val="18"/>
        </w:rPr>
        <w:t>Figura 12. Línea base de despliegue en Google Compute Engine.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Destino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Componentes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Motivo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Compute Engine de entrada y web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Terminación HTTPS o proxy inverso, enrutamiento y contenedor del sistema web.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Aísla el acceso público de los servicios y mantiene el núcleo web desplegable de forma independiente.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Compute Engine de servicios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Punto de entrada interno, microservicios en contenedores separados y servicio de monitoreo.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Permite actualizar servicios de forma individual sin asumir desde el inicio un orquestador de clúster.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Compute Engine de datos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PostgreSQL, MongoDB y Redis en red privada, con credenciales separadas y persistencia cuando corresponda.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Proporciona una distribución inicial controlable y mantiene los almacenes fuera de la zona pública; la alta disponibilidad requiere una evolución posterior sustentada en riesgos y mediciones.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Google Cloud Storage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Objetos privados, evidencias, documentos y reportes.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Evita almacenar binarios grandes en las bases y permite accesos temporales mediante URLs firmadas.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Destino de logs y métricas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Registros centralizables de web, servicios y monitoreo.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Facilita correlación y diagnóstico; el producto concreto se seleccionará según disponibilidad y alcance.</w:t>
            </w:r>
          </w:p>
        </w:tc>
      </w:tr>
    </w:tbl>
    <w:p>
      <w:pPr>
        <w:spacing w:after="0"/>
      </w:pPr>
    </w:p>
    <w:p>
      <w:r>
        <w:t>A partir del segundo parcial, el sistema web, el punto de entrada, cada microservicio y el monitor tendrán Dockerfile. PostgreSQL, MongoDB y Redis se ejecutarán en contenedores dentro de los entornos de desarrollo y evaluación, con volúmenes y procedimientos de respaldo. Android y escritorio se distribuyen como aplicaciones cliente y no se despliegan en contenedores de backend.</w:t>
      </w:r>
    </w:p>
    <w:p>
      <w:pPr>
        <w:pStyle w:val="Heading1"/>
      </w:pPr>
      <w:r>
        <w:t>12. Diagrama de red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62636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red.sv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63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374151"/>
          <w:sz w:val="18"/>
        </w:rPr>
        <w:t>Figura 13. Segmentación de red y rutas de comunicación permitidas.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Destino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Política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Internet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Punto de entrada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Solo HTTPS en el puerto público definido; las bases y los contenedores internos no se publican.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Punto de entrada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Web y API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Enrutamiento a destinos conocidos, límites de consumo, tamaño máximo y encabezado de correlación.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Web y microservicios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PostgreSQL, MongoDB y Redis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Acceso por red privada, credencial de mínimo privilegio y únicamente al almacenamiento propio.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Microservicios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Google Cloud Storage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Salida HTTPS para generar o utilizar accesos firmados; los objetos permanecen privados.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Monitor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Endpoints de salud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Comunicación privada de solo consulta; no puede ejecutar operaciones de negocio.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Administración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Máquinas de Compute Engine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Canal restringido a personal autorizado y registrado; no se habilita administración general desde Internet.</w:t>
            </w:r>
          </w:p>
        </w:tc>
      </w:tr>
    </w:tbl>
    <w:p>
      <w:pPr>
        <w:spacing w:after="0"/>
      </w:pPr>
    </w:p>
    <w:p>
      <w:r>
        <w:t>Las reglas de firewall aplican denegación por defecto. Los puertos internos concretos se documentarán en la configuración de despliegue, pero nunca se expondrán públicamente PostgreSQL, MongoDB o Redis. Los secretos y certificados permanecerán fuera del código y de los archivos versionados.</w:t>
      </w:r>
    </w:p>
    <w:p>
      <w:pPr>
        <w:pStyle w:val="Heading1"/>
      </w:pPr>
      <w:r>
        <w:t>13. Seguridad, resiliencia y observabilidad</w:t>
      </w:r>
    </w:p>
    <w:p>
      <w:pPr>
        <w:pStyle w:val="Heading2"/>
      </w:pPr>
      <w:r>
        <w:t>13.1 Controles de seguridad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5083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Diseño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Credenciales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Contraseñas con hash seguro y configuración vigente; ningún secreto o valor real en el repositorio.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Tokens y sesiones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JWT de acceso de corta duración, renovación controlada, rotación o control equivalente, revocación y estado de sesión en Redis.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Autorización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Denegación por defecto y validación de perfil, acción, recurso y ámbito institucional en cada petición protegida.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Entradas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Validación de formularios, JSON, XML/XSD y archivos; consultas parametrizadas y protección del procesamiento XML contra XXE.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Datos sensibles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Minimización y ocultamiento en pantallas, respuestas, errores, logs y reportes; segregación institucional y trazabilidad de accesos.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Archivos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Validación de tipo, tamaño, finalidad y permiso; objetos privados, hash, metadatos y URLs firmadas de vigencia limitada.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Auditoría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Eventos con actor, tiempo, acción, entidad, resultado y correlación; las correcciones generan nuevos eventos y no sobrescriben el historial.</w:t>
            </w:r>
          </w:p>
        </w:tc>
      </w:tr>
    </w:tbl>
    <w:p>
      <w:pPr>
        <w:spacing w:after="0"/>
      </w:pPr>
    </w:p>
    <w:p>
      <w:pPr>
        <w:pStyle w:val="Heading2"/>
      </w:pPr>
      <w:r>
        <w:t>13.2 Resiliencia y consistencia</w:t>
      </w:r>
    </w:p>
    <w:p>
      <w:pPr>
        <w:pStyle w:val="ListBullet"/>
      </w:pPr>
      <w:r>
        <w:t>Los clientes aplican timeouts y muestran errores de red sin asumir que una operación fallida no fue procesada.</w:t>
      </w:r>
    </w:p>
    <w:p>
      <w:pPr>
        <w:pStyle w:val="ListBullet"/>
      </w:pPr>
      <w:r>
        <w:t>Los reintentos se limitan a operaciones seguras o idempotentes; las confirmaciones sensibles utilizan identificadores que permiten detectar duplicados.</w:t>
      </w:r>
    </w:p>
    <w:p>
      <w:pPr>
        <w:pStyle w:val="ListBullet"/>
      </w:pPr>
      <w:r>
        <w:t>Reservas y asignaciones se protegen mediante transacciones, restricciones o bloqueos con expiración para impedir doble asignación.</w:t>
      </w:r>
    </w:p>
    <w:p>
      <w:pPr>
        <w:pStyle w:val="ListBullet"/>
      </w:pPr>
      <w:r>
        <w:t>La caída de un servicio se registra y degrada únicamente los procesos que dependen de él; no debe corromper información ni ocultar el estado al usuario.</w:t>
      </w:r>
    </w:p>
    <w:p>
      <w:pPr>
        <w:pStyle w:val="ListBullet"/>
      </w:pPr>
      <w:r>
        <w:t>La sincronización móvil conserva operaciones permitidas, muestra conflictos y no confirma decisiones clínicas o asignaciones sin validación del servidor.</w:t>
      </w:r>
    </w:p>
    <w:p>
      <w:pPr>
        <w:pStyle w:val="ListBullet"/>
      </w:pPr>
      <w:r>
        <w:t>Los respaldos y la restauración se comprobarán con evidencia; conservar una copia no equivale a demostrar recuperación.</w:t>
      </w:r>
    </w:p>
    <w:p>
      <w:pPr>
        <w:pStyle w:val="ListBullet"/>
      </w:pPr>
      <w:r>
        <w:t>La operación web no depende de la disponibilidad de Android o escritorio. La indisponibilidad del monitor tampoco detiene los servicios supervisados.</w:t>
      </w:r>
    </w:p>
    <w:p>
      <w:pPr>
        <w:pStyle w:val="Heading2"/>
      </w:pPr>
      <w:r>
        <w:t>13.3 Observabilidad y salud</w:t>
      </w:r>
    </w:p>
    <w:p>
      <w:r>
        <w:t>Cada microservicio expondrá los endpoints aplicables: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083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/health/live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Confirmar que el proceso está en ejecución.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/health/ready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Confirmar que el servicio está preparado para atender solicitudes.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/health/database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Comprobar la dependencia relacional utilizada por el servicio.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/health/redis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Comprobar sesión, revocación o datos temporales cuando sean dependencia.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/health/mongodb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Comprobar MongoDB cuando el servicio lo utilice.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/health/storage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Comprobar Google Cloud Storage cuando el flujo dependa de objetos.</w:t>
            </w:r>
          </w:p>
        </w:tc>
      </w:tr>
    </w:tbl>
    <w:p>
      <w:pPr>
        <w:spacing w:after="0"/>
      </w:pPr>
    </w:p>
    <w:p>
      <w:r>
        <w:t>El servicio de monitoreo consultará estos endpoints y presentará estado disponible, degradado o caído; tiempo promedio; último error; dependencia causante; versión; fecha de verificación; cantidad de errores e historial de disponibilidad. Los estados distinguirán proceso detenido, dependencia inaccesible, respuesta inválida y timeout.</w:t>
      </w:r>
    </w:p>
    <w:p>
      <w:r>
        <w:t>Los logs incluirán timestamp, servicio, versión, resultado, duración e identificador de correlación. No contendrán tokens completos, contraseñas, datos clínicos, fotografías, ubicaciones precisas ni identificadores personales innecesarios. La auditoría de negocio y el log técnico son registros distintos, aunque compartan correlación.</w:t>
      </w:r>
    </w:p>
    <w:p>
      <w:pPr>
        <w:pStyle w:val="Heading2"/>
      </w:pPr>
      <w:r>
        <w:t>13.4 Ubicación de las capacidades algorítmicas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Salida y límite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Matching sanguíneo y HLA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ms-compatibilidad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Candidatos, datos faltantes, versión y explicación; requiere reglas autorizadas y no decide la asignación.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Ranking, urgencia, tiempo y distancia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ms-priorizacion-geografia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Orden y factores utilizados; la urgencia es registrada por personal autorizado y la fuente geográfica queda identificada.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Pronóstico de caducidad y balanceo regional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Menlo" w:hAnsi="Menlo" w:eastAsia="Menlo"/>
                <w:sz w:val="16"/>
              </w:rPr>
              <w:t>ms-inventario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Riesgo o sugerencia demostrativa con limitaciones; no ejecuta transferencias automáticamente.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Detección de inconsistencias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 xml:space="preserve">Servicio propietario y </w:t>
            </w:r>
            <w:r>
              <w:rPr>
                <w:rFonts w:ascii="Menlo" w:hAnsi="Menlo" w:eastAsia="Menlo"/>
                <w:sz w:val="16"/>
              </w:rPr>
              <w:t>ms-alertas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Hallazgo explicable y alerta dirigida; no corrige silenciosamente el dato.</w:t>
            </w:r>
          </w:p>
        </w:tc>
      </w:tr>
    </w:tbl>
    <w:p>
      <w:pPr>
        <w:spacing w:after="0"/>
      </w:pPr>
    </w:p>
    <w:p>
      <w:r>
        <w:t>La arquitectura reserva componentes y mecanismos de trazabilidad para estas capacidades, sin establecer fórmulas, ponderaciones ni reglas clínicas. La especificación de cada algoritmo incluirá entradas, salidas, restricciones, pseudocódigo, métricas, casos de prueba, versión, limitaciones y autoridad de validación antes de su implementación.</w:t>
      </w:r>
    </w:p>
    <w:p>
      <w:pPr>
        <w:pStyle w:val="Heading1"/>
      </w:pPr>
      <w:r>
        <w:t>14. Escalabilidad y posible uso de clúster</w:t>
      </w:r>
    </w:p>
    <w:p>
      <w:r>
        <w:t>La línea base no requiere un clúster en el primer ni en el segundo parcial. Desde el segundo parcial, los servicios permanecen desacoplados y contenerizados para permitir una evolución posterior sin convertir el clúster en una dependencia anticipada.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Proceso candidato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Señal que justificaría distribución o clúster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Decisión prevista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Compatibilidad y ranking sobre conjuntos grandes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Saturación sostenida, crecimiento del tiempo p95/p99 o incumplimiento del objetivo definido para un flujo real.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Escalar horizontalmente servicios sin estado; evaluar GKE o grupos administrados únicamente después de medir.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Pronóstico de caducidad y balanceo regional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Ventanas de procesamiento que no concluyen con el volumen objetivo o compiten con las operaciones transaccionales.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Separar ejecución por lotes y evaluar procesamiento distribuido sin mover la decisión clínica al clúster.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Ingesta de telemetría, auditoría o alertas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Acumulación de trabajo, pérdida de eventos ante fallos o necesidad comprobada de desacoplamiento durable.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Evaluar una cola o Pub/Sub y consumidores escalables; no forma parte de la línea base.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Pruebas Locust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Una sola máquina generadora no alcanza la concurrencia planificada.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Distribuir generadores de carga de forma temporal y separar su infraestructura de la plataforma medida.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Servicios web y API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Demanda concurrente que supera una instancia y justifica balanceo.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Añadir réplicas y balanceador; mantener sesiones y revocación fuera del proceso mediante Redis.</w:t>
            </w:r>
          </w:p>
        </w:tc>
      </w:tr>
    </w:tbl>
    <w:p>
      <w:pPr>
        <w:spacing w:after="0"/>
      </w:pPr>
    </w:p>
    <w:p>
      <w:r>
        <w:t>La adopción de un clúster se condiciona a un conjunto de datos, concurrencia, objetivos de respuesta, costo y evidencia de una limitación vigente. La evaluación comprende primero consultas, índices, caché, serialización y límites de recursos; la tecnología se seleccionará a partir de los resultados de las pruebas.</w:t>
      </w:r>
    </w:p>
    <w:p>
      <w:pPr>
        <w:pStyle w:val="Heading1"/>
      </w:pPr>
      <w:r>
        <w:t>15. Evolución por parciales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541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541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Primer parcial</w:t>
            </w:r>
          </w:p>
        </w:tc>
        <w:tc>
          <w:tcPr>
            <w:tcW w:type="dxa" w:w="2541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Posterior</w:t>
            </w:r>
          </w:p>
        </w:tc>
        <w:tc>
          <w:tcPr>
            <w:tcW w:type="dxa" w:w="2541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Control transversal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Sistema web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Página pública, portal, identidad inicial, tres perfiles funcionales, dos catálogos, institución administrable, inventario sanguíneo ficticio, panel básico y auditoría.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Perfiles restantes, procesos completos, panel regional, Highcharts, reportes, archivos, notificaciones y consumo de servicios compartidos.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Responsive, persistencia real, autorización, errores seguros y pruebas.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Microservicios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Definición arquitectónica de límites, contratos y estrategia futura de despliegue.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Servicios Flask independientes y contenerizados, JSON/XML, OpenAPI, XSD, salud, correlación, límites y pruebas.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Versionamiento, seguridad y propietarios de datos.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Android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Incluido en contexto, contratos y secuencias; sin funcionalidad requerida en el MVP.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Donante y Personal de traslado; JSON, JWT, cámara, escaneo, ubicación, notificaciones y sincronización permitida.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Sin acceso directo a datos ni lógica principal replicada.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Escritorio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Incluido en contexto, contratos y secuencias; tecnología aún no seleccionada.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Operación interna mediante XML/XSD, inventario, pruebas, revisión, etiquetas, custodia y reportes.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Desacoplado del web y sin acceso directo a almacenes.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Datos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PostgreSQL local con datos ficticios; MongoDB y Redis solo como tecnologías investigadas y elementos de la arquitectura futura.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Diseño detallado y uso funcional de MongoDB y Redis; Google Cloud Storage, separación completa por propietarios, índices, retención y respaldos.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Una fuente autoritativa y ciclos de vida documentados.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Infraestructura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Dependencias, variables y ejecución local reproducible del web y PostgreSQL, sin contenedores.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Dockerfiles, Docker Compose, contenedor por servicio, Compute Engine, red privada, firewall, almacenamiento y logs centralizables.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Variables y secretos protegidos, integración continua y recuperación.</w:t>
            </w:r>
          </w:p>
        </w:tc>
      </w:tr>
      <w:tr>
        <w:trPr>
          <w:cantSplit/>
        </w:trPr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Monitoreo y algoritmos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Diseño completo, sin anticipar reglas clínicas.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Health checks, panel técnico, carga, algoritmos priorizados, mediciones y fallos.</w:t>
            </w:r>
          </w:p>
        </w:tc>
        <w:tc>
          <w:tcPr>
            <w:tcW w:type="dxa" w:w="25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Explicabilidad, correlación, auditoría y ausencia de datos sensibles.</w:t>
            </w:r>
          </w:p>
        </w:tc>
      </w:tr>
    </w:tbl>
    <w:p>
      <w:pPr>
        <w:spacing w:after="0"/>
      </w:pPr>
    </w:p>
    <w:p>
      <w:pPr>
        <w:pStyle w:val="Heading1"/>
      </w:pPr>
      <w:r>
        <w:t>16. Validación arquitectónica</w:t>
      </w:r>
    </w:p>
    <w:p>
      <w:pPr>
        <w:pStyle w:val="Heading2"/>
      </w:pPr>
      <w:r>
        <w:t>16.1 Relación con los requerimientos consolidados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5083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Secciones que lo materializan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RF/RNF del sistema web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5, 6.1, 8, 9.1, 11 y 15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RF/RNF de microservicios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5, 6.2, 7, 8, 9, 13 y 14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RF/RNF de Android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4, 7, 8, 9.2, 9.4 y 15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RF/RNF de escritorio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4, 7, 8, 9.3, 9.4 y 15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RF/RNF de datos y almacenamiento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6.2, 9, 10, 11 y 13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RNF de infraestructura e integración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3, 5, 7, 9, 11, 12, 14 y 15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RF/RNF de seguridad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2, 7, 8, 10, 12 y 13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RF/RNF de monitoreo</w:t>
            </w:r>
          </w:p>
        </w:tc>
        <w:tc>
          <w:tcPr>
            <w:tcW w:type="dxa" w:w="50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5, 11 y 13.3</w:t>
            </w:r>
          </w:p>
        </w:tc>
      </w:tr>
    </w:tbl>
    <w:p>
      <w:pPr>
        <w:spacing w:after="0"/>
      </w:pPr>
    </w:p>
    <w:p>
      <w:r>
        <w:t>La tabla resume la cobertura arquitectónica por grupo. La relación detallada entre requerimientos, historias, reglas, casos de uso, pruebas y evidencias corresponde a la matriz de trazabilidad integral.</w:t>
      </w:r>
    </w:p>
    <w:p>
      <w:pPr>
        <w:pStyle w:val="Heading2"/>
      </w:pPr>
      <w:r>
        <w:t>16.2 Escenarios de comprobación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3389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Evidencia esperada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VA-01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El sistema web se utiliza mientras Android y escritorio están fuera de servicio.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Las funciones propias del web continúan disponibles y la ausencia de los clientes no altera sus datos.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VA-02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Android y escritorio consultan una misma operación autorizada.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Android recibe JSON y escritorio XML válido contra XSD, con significado, versión, códigos y restricciones equivalentes.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VA-03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Un cliente intenta acceder a una base o a un recurso de otra institución.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La red impide el acceso directo y el servicio deniega el recurso por ámbito, registrando el intento sin exponer detalles.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VA-04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Se revoca una sesión con un JWT aún no vencido.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Redis refleja la revocación y la siguiente petición protegida es rechazada por web o microservicio.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VA-05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Dos solicitudes intentan reservar el mismo recurso.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Solo una transición válida se confirma; la otra recibe un conflicto controlado y ambas acciones quedan auditadas.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VA-06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PostgreSQL, MongoDB, Redis, Storage o un servicio deja de responder.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Se distingue la dependencia afectada, se aplica timeout, no se corrompen datos y la operación se recupera al restablecerla.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VA-07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Se carga y consulta una evidencia privada.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El binario queda en Storage, los metadatos y hash en el propietario, el acceso usa URL firmada y la acción se audita.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VA-08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Se genera un ranking y una persona registra una decisión distinta.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Se conservan cálculo, versión, factores, explicación, decisión humana y justificación sin sobrescribir el resultado.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VA-09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El monitor deja de funcionar.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Los servicios supervisados continúan operando; al volver el monitor se reanudan las verificaciones sin modificar procesos de negocio.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VA-10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Se ejecuta el MVP del primer parcial en el entorno local documentado.</w:t>
            </w:r>
          </w:p>
        </w:tc>
        <w:tc>
          <w:tcPr>
            <w:tcW w:type="dxa" w:w="33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6"/>
              </w:rPr>
              <w:t>Inicio de sesión, perfiles iniciales, panel básico, dos catálogos, inventario ficticio, consulta, PostgreSQL y auditoría funcionan con persistencia real sin depender de MongoDB, Redis o Docker.</w:t>
            </w:r>
          </w:p>
        </w:tc>
      </w:tr>
    </w:tbl>
    <w:p>
      <w:pPr>
        <w:spacing w:after="0"/>
      </w:pPr>
    </w:p>
    <w:p>
      <w:r>
        <w:t>Los escenarios constituyen criterios de validación arquitectónica y se aplicarán a los incrementos ejecutables correspondientes, con evidencia reproducible.</w:t>
      </w:r>
    </w:p>
    <w:p>
      <w:pPr>
        <w:pStyle w:val="Heading1"/>
      </w:pPr>
      <w:r>
        <w:t>17. Conclusión</w:t>
      </w:r>
    </w:p>
    <w:p>
      <w:r>
        <w:t>La arquitectura propuesta integra los cuatro productos mediante contratos explícitos, mantiene una fuente autoritativa por dato y separa las responsabilidades de presentación, negocio, almacenamiento, seguridad y monitoreo. El MVP del primer parcial permanece acotado a una base web real y verificable, mientras los límites necesarios para microservicios, aplicaciones cliente, nube, algoritmos y operación regional quedan definidos para su incorporación gradual.</w:t>
      </w:r>
    </w:p>
    <w:p>
      <w:r>
        <w:t>La solución prioriza trazabilidad, seguridad, consistencia y explicación de resultados sin convertir los cálculos en decisiones clínicas automáticas. Su crecimiento hacia réplicas, clústeres o servicios adicionales dependerá de evidencia de volumen, rendimiento y riesgo, conservando una implementación viable para el alcance y los recursos previstos durante el semestre.</w:t>
      </w:r>
    </w:p>
    <w:sectPr w:rsidR="00FC693F" w:rsidRPr="0006063C" w:rsidSect="00034616"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991B1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7F1D1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eastAsia="Arial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 w:eastAsia="Arial"/>
      <w:color w:val="1F29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arquitectónico</dc:title>
  <dc:subject>Proyecto 6: Red regional de bancos de sangre y donación de órganos</dc:subject>
  <dc:creator>Equipo 01</dc:creator>
  <cp:keywords/>
  <dc:description>Diseño arquitectónico inicial del 2 de septiembre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