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6" w:color="9FBAD0"/>
        </w:pBdr>
      </w:pPr>
      <w:r>
        <w:t>Historias de usuario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dxa" w:w="10224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Proyecto:</w:t>
            </w:r>
            <w:r>
              <w:rPr>
                <w:sz w:val="20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Estado:</w:t>
            </w:r>
            <w:r>
              <w:rPr>
                <w:sz w:val="20"/>
              </w:rPr>
              <w:t xml:space="preserve"> borrador consolidado para validación académica.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Fecha:</w:t>
            </w:r>
            <w:r>
              <w:rPr>
                <w:sz w:val="20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Cobertura:</w:t>
            </w:r>
            <w:r>
              <w:rPr>
                <w:sz w:val="20"/>
              </w:rPr>
              <w:t xml:space="preserve"> proyecto académico completo, con implementación gradual por parciales e incrementos.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Este documento define las historias de usuario de la solución completa a partir del análisis del problema y de los requerimientos funcionales y no funcionales consolidados. Las historias se agrupan por componente y por flujo de valor; no existe una correspondencia obligatoria de una historia por cada requerimiento.</w:t>
      </w:r>
    </w:p>
    <w:p>
      <w:r>
        <w:t xml:space="preserve">La fase </w:t>
      </w:r>
      <w:r>
        <w:rPr>
          <w:b/>
        </w:rPr>
        <w:t>Primer parcial</w:t>
      </w:r>
      <w:r>
        <w:t xml:space="preserve"> identifica el subconjunto inicial del sistema web. Las historias </w:t>
      </w:r>
      <w:r>
        <w:rPr>
          <w:b/>
        </w:rPr>
        <w:t>Posteriores</w:t>
      </w:r>
      <w:r>
        <w:t xml:space="preserve"> continúan dentro del alcance del proyecto y deberán considerarse en la arquitectura, los datos y la planeación aunque todavía no estén implementadas. Las historias </w:t>
      </w:r>
      <w:r>
        <w:rPr>
          <w:b/>
        </w:rPr>
        <w:t>Transversales</w:t>
      </w:r>
      <w:r>
        <w:t xml:space="preserve"> se incorporarán gradualmente en todos los incrementos a los que correspondan.</w:t>
      </w:r>
    </w:p>
    <w:p>
      <w:r>
        <w:t>La plataforma será una herramienta de coordinación y apoyo. Ninguna historia autoriza que el sistema sustituya la evaluación médica, ética o normativa, ni que invente reglas de compatibilidad, elegibilidad, urgencia, conservación, priorización o asignación. Hasta contar con fuentes y validaciones autorizadas, los datos y las reglas utilizados en demostraciones serán ficticios y se identificarán como demostrativos.</w:t>
      </w:r>
    </w:p>
    <w:p>
      <w:pPr>
        <w:pStyle w:val="Heading1"/>
      </w:pPr>
      <w:r>
        <w:t>2. Convenciones</w:t>
      </w:r>
    </w:p>
    <w:p>
      <w:pPr>
        <w:pStyle w:val="Heading2"/>
      </w:pPr>
      <w:r>
        <w:t>2.1 Tipos de elementos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HU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Historia de usuario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Expresa un resultado valioso para una persona o perfil autorizado.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HE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Historia habilitadora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Expresa una capacidad técnica necesaria para entregar y verificar las historias de usuario.</w:t>
            </w:r>
          </w:p>
        </w:tc>
      </w:tr>
    </w:tbl>
    <w:p>
      <w:pPr>
        <w:spacing w:after="0"/>
      </w:pPr>
    </w:p>
    <w:p>
      <w:r>
        <w:t>Las historias habilitadoras se utilizan para arquitectura, contratos, datos, infraestructura, seguridad y calidad. De esta forma, los requisitos técnicos permanecen trazables sin presentar al sistema, a una base de datos o a un “arquitecto” como usuario final del negocio.</w:t>
      </w:r>
    </w:p>
    <w:p>
      <w:pPr>
        <w:pStyle w:val="Heading2"/>
      </w:pPr>
      <w:r>
        <w:t>2.2 Clasificaciones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Clasificación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Valores utilizados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parcial, Posterior o Transversal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 o 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Técnica, Demostrativa o 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Sistema web, Microservicios, Aplicación móvil, Aplicación de escritorio, Bases de datos, Infraestructura, Seguridad o Monitoreo</w:t>
            </w:r>
          </w:p>
        </w:tc>
      </w:tr>
    </w:tbl>
    <w:p>
      <w:pPr>
        <w:spacing w:after="0"/>
      </w:pPr>
    </w:p>
    <w:p>
      <w:pPr>
        <w:pStyle w:val="Heading2"/>
      </w:pPr>
      <w:r>
        <w:t>2.3 Criterios transversales</w:t>
      </w:r>
    </w:p>
    <w:p>
      <w:r>
        <w:t>Además de los criterios particulares de cada historia, se aplicarán los siguientes cuando correspondan:</w:t>
      </w:r>
    </w:p>
    <w:p>
      <w:pPr>
        <w:spacing w:after="60"/>
        <w:ind w:left="360" w:hanging="259"/>
      </w:pPr>
      <w:r>
        <w:t>1. Cada operación protegida deberá comprobar la identidad, el perfil, la acción, el recurso y el ámbito institucional del usuario.</w:t>
      </w:r>
    </w:p>
    <w:p>
      <w:pPr>
        <w:spacing w:after="60"/>
        <w:ind w:left="360" w:hanging="259"/>
      </w:pPr>
      <w:r>
        <w:t>2. Los cambios deberán persistirse realmente y las operaciones críticas deberán dejar evidencia auditable con actor, fecha, acción, entidad y resultado.</w:t>
      </w:r>
    </w:p>
    <w:p>
      <w:pPr>
        <w:spacing w:after="60"/>
        <w:ind w:left="360" w:hanging="259"/>
      </w:pPr>
      <w:r>
        <w:t>3. Los mensajes de error deberán ser comprensibles y no revelar datos personales o clínicos, secretos, tokens ni detalles internos.</w:t>
      </w:r>
    </w:p>
    <w:p>
      <w:pPr>
        <w:spacing w:after="60"/>
        <w:ind w:left="360" w:hanging="259"/>
      </w:pPr>
      <w:r>
        <w:t>4. Los procesos de sangre y los de órganos conservarán datos, estados, reglas y validaciones diferenciados.</w:t>
      </w:r>
    </w:p>
    <w:p>
      <w:pPr>
        <w:spacing w:after="60"/>
        <w:ind w:left="360" w:hanging="259"/>
      </w:pPr>
      <w:r>
        <w:t>5. Los resultados de compatibilidad, priorización, pronóstico o recomendación mostrarán su procedencia y requerirán la intervención humana autorizada que corresponda.</w:t>
      </w:r>
    </w:p>
    <w:p>
      <w:pPr>
        <w:spacing w:after="60"/>
        <w:ind w:left="360" w:hanging="259"/>
      </w:pPr>
      <w:r>
        <w:t>6. Los criterios clínicos o regulatorios pendientes no se considerarán aceptados por estar escritos en este documento; deberán validarse antes de utilizarse con fines distintos de una demostración académica.</w:t>
      </w:r>
    </w:p>
    <w:p>
      <w:pPr>
        <w:pStyle w:val="Heading1"/>
      </w:pPr>
      <w:r>
        <w:t>3. Sistema web empresarial</w:t>
      </w:r>
    </w:p>
    <w:p>
      <w:pPr>
        <w:pStyle w:val="Heading2"/>
      </w:pPr>
      <w:r>
        <w:t>Épica WEB-01 — Acceso e identidad</w:t>
      </w:r>
    </w:p>
    <w:p>
      <w:pPr>
        <w:pStyle w:val="Heading2"/>
      </w:pPr>
      <w:r>
        <w:t>HU-WEB-001 — Consultar el sitio público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Público general (sin perfil de acceso)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RF-WEB-001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visitante, quiero consultar información pública sobre la red y sus medios de contacto, para comprender el propósito de la plataforma sin acceder a información restringida.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página pública explica el propósito académico de la red y presenta únicamente contenido autorizado.</w:t>
      </w:r>
    </w:p>
    <w:p>
      <w:pPr>
        <w:spacing w:after="60"/>
        <w:ind w:left="360" w:hanging="259"/>
      </w:pPr>
      <w:r>
        <w:t>2. El visitante puede llegar al inicio de sesión desde la navegación pública.</w:t>
      </w:r>
    </w:p>
    <w:p>
      <w:pPr>
        <w:spacing w:after="60"/>
        <w:ind w:left="360" w:hanging="259"/>
      </w:pPr>
      <w:r>
        <w:t>3. La página no muestra inventarios detallados ni datos personales, clínicos, logísticos o de auditoría.</w:t>
      </w:r>
    </w:p>
    <w:p>
      <w:pPr>
        <w:spacing w:after="60"/>
        <w:ind w:left="360" w:hanging="259"/>
      </w:pPr>
      <w:r>
        <w:t>4. El contenido puede consultarse desde los tamaños de pantalla definidos para la demostración.</w:t>
      </w:r>
    </w:p>
    <w:p>
      <w:pPr>
        <w:pStyle w:val="Heading2"/>
      </w:pPr>
      <w:r>
        <w:t>HU-WEB-002 — Acceder de forma segura a la plataforma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Transversal: inicio y cierre en el primer parcial; recuperación 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parcial: Administrador; Operador de banco de sangre; Auditor. Posteriormente: Personal médico autorizado; Coordinador regional; Personal de traslado; Donante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RF-WEB-002, RF-SEC-001, RF-SEC-003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usuario registrado, quiero iniciar sesión, cerrar sesión y recuperar mi acceso cuando corresponda, para utilizar únicamente las funciones autorizadas de mi perfil.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Una credencial válida y activa inicia una sesión y conduce al panel permitido para el perfil y ámbito del usuario.</w:t>
      </w:r>
    </w:p>
    <w:p>
      <w:pPr>
        <w:spacing w:after="60"/>
        <w:ind w:left="360" w:hanging="259"/>
      </w:pPr>
      <w:r>
        <w:t>2. Una credencial inválida, una cuenta inactiva o una sesión expirada produce un mensaje genérico y no concede acceso.</w:t>
      </w:r>
    </w:p>
    <w:p>
      <w:pPr>
        <w:spacing w:after="60"/>
        <w:ind w:left="360" w:hanging="259"/>
      </w:pPr>
      <w:r>
        <w:t>3. El cierre de sesión invalida la sesión o los tokens definidos y evita reutilizarlos en operaciones protegidas.</w:t>
      </w:r>
    </w:p>
    <w:p>
      <w:pPr>
        <w:spacing w:after="60"/>
        <w:ind w:left="360" w:hanging="259"/>
      </w:pPr>
      <w:r>
        <w:t>4. Los intentos relevantes de autenticación y el cierre de sesión quedan registrados sin almacenar contraseñas ni tokens completos.</w:t>
      </w:r>
    </w:p>
    <w:p>
      <w:pPr>
        <w:spacing w:after="60"/>
        <w:ind w:left="360" w:hanging="259"/>
      </w:pPr>
      <w:r>
        <w:t>5. En el incremento posterior, la recuperación utiliza un mecanismo temporal, de un solo uso y auditable que no revela si una cuenta existe.</w:t>
      </w:r>
    </w:p>
    <w:p>
      <w:pPr>
        <w:pStyle w:val="Heading2"/>
      </w:pPr>
      <w:r>
        <w:t>HU-WEB-003 — Administrar usuarios, perfiles y ámbitos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Administrador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RF-WEB-003, RF-SEC-002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Administrador, quiero gestionar usuarios y asignarles perfiles y ámbitos institucionales, para que cada persona acceda solo a las responsabilidades que le corresponden.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Administrador puede crear, consultar, actualizar, activar o desactivar cuentas dentro de su propio ámbito.</w:t>
      </w:r>
    </w:p>
    <w:p>
      <w:pPr>
        <w:spacing w:after="60"/>
        <w:ind w:left="360" w:hanging="259"/>
      </w:pPr>
      <w:r>
        <w:t>2. Los siete perfiles permanecen definidos para el alcance completo; durante el primer parcial solo pueden asignarse y habilitarse funcionalmente Administrador, Operador de banco de sangre y Auditor.</w:t>
      </w:r>
    </w:p>
    <w:p>
      <w:pPr>
        <w:spacing w:after="60"/>
        <w:ind w:left="360" w:hanging="259"/>
      </w:pPr>
      <w:r>
        <w:t>3. En incrementos posteriores, la asignación de un perfil clínico no sustituye la acreditación o autorización profesional que deba validarse por separado.</w:t>
      </w:r>
    </w:p>
    <w:p>
      <w:pPr>
        <w:spacing w:after="60"/>
        <w:ind w:left="360" w:hanging="259"/>
      </w:pPr>
      <w:r>
        <w:t>4. El menú y las operaciones visibles cambian conforme al perfil y al ámbito institucional vigentes.</w:t>
      </w:r>
    </w:p>
    <w:p>
      <w:pPr>
        <w:spacing w:after="60"/>
        <w:ind w:left="360" w:hanging="259"/>
      </w:pPr>
      <w:r>
        <w:t>5. Un usuario fuera de ámbito recibe una denegación segura aunque conozca la dirección o el identificador del recurso.</w:t>
      </w:r>
    </w:p>
    <w:p>
      <w:pPr>
        <w:spacing w:after="60"/>
        <w:ind w:left="360" w:hanging="259"/>
      </w:pPr>
      <w:r>
        <w:t>6. Las altas, bajas y cambios de perfil o ámbito quedan auditados.</w:t>
      </w:r>
    </w:p>
    <w:p>
      <w:pPr>
        <w:pStyle w:val="Heading2"/>
      </w:pPr>
      <w:r>
        <w:t>Épica WEB-02 — Configuración de la red</w:t>
      </w:r>
    </w:p>
    <w:p>
      <w:pPr>
        <w:pStyle w:val="Heading2"/>
      </w:pPr>
      <w:r>
        <w:t>HU-WEB-004 — Mantener catálogos y parámetros autorizados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Administrador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RF-WEB-004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Administrador, quiero mantener catálogos y parámetros autorizados, para que las operaciones utilicen valores consistentes y controlados.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primer parcial ofrece al menos los catálogos funcionales de instituciones y tipos de componentes sanguíneos; las instituciones se obtienen de la entidad administrada en HU-WEB-005 como fuente conceptual única.</w:t>
      </w:r>
    </w:p>
    <w:p>
      <w:pPr>
        <w:spacing w:after="60"/>
        <w:ind w:left="360" w:hanging="259"/>
      </w:pPr>
      <w:r>
        <w:t>2. Cada catálogo permite las operaciones autorizadas de alta, consulta, actualización y cambio de estado con persistencia real.</w:t>
      </w:r>
    </w:p>
    <w:p>
      <w:pPr>
        <w:spacing w:after="60"/>
        <w:ind w:left="360" w:hanging="259"/>
      </w:pPr>
      <w:r>
        <w:t>3. Se validan los campos obligatorios, la unicidad definida y las referencias activas antes de guardar.</w:t>
      </w:r>
    </w:p>
    <w:p>
      <w:pPr>
        <w:spacing w:after="60"/>
        <w:ind w:left="360" w:hanging="259"/>
      </w:pPr>
      <w:r>
        <w:t>4. Un valor que ya tiene historial no se elimina de forma que rompa registros anteriores; se inactiva cuando corresponda.</w:t>
      </w:r>
    </w:p>
    <w:p>
      <w:pPr>
        <w:spacing w:after="60"/>
        <w:ind w:left="360" w:hanging="259"/>
      </w:pPr>
      <w:r>
        <w:t>5. Todo cambio conserva fecha, responsable y valores necesarios para auditoría.</w:t>
      </w:r>
    </w:p>
    <w:p>
      <w:pPr>
        <w:spacing w:after="60"/>
        <w:ind w:left="360" w:hanging="259"/>
      </w:pPr>
      <w:r>
        <w:t>6. Los parámetros demostrativos se identifican como tales y no se presentan como reglas clínicas válidas.</w:t>
      </w:r>
    </w:p>
    <w:p>
      <w:pPr>
        <w:pStyle w:val="Heading2"/>
      </w:pPr>
      <w:r>
        <w:t>HU-WEB-005 — Administrar instituciones participantes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Administrador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RF-WEB-005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Administrador, quiero registrar y mantener las instituciones y sedes participantes, para representar quiénes integran la red y cuáles son sus capacidades declaradas.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Se registran los datos institucionales, tipo, ubicación, contactos, capacidades declaradas y estado de participación definidos para el incremento; este registro es la fuente conceptual única utilizada como catálogo de referencia por los demás procesos.</w:t>
      </w:r>
    </w:p>
    <w:p>
      <w:pPr>
        <w:spacing w:after="60"/>
        <w:ind w:left="360" w:hanging="259"/>
      </w:pPr>
      <w:r>
        <w:t>2. El sistema detecta posibles duplicados mediante los identificadores y reglas administrativas acordadas.</w:t>
      </w:r>
    </w:p>
    <w:p>
      <w:pPr>
        <w:spacing w:after="60"/>
        <w:ind w:left="360" w:hanging="259"/>
      </w:pPr>
      <w:r>
        <w:t>3. Solo un Administrador con el ámbito correspondiente puede modificar o desactivar una institución.</w:t>
      </w:r>
    </w:p>
    <w:p>
      <w:pPr>
        <w:spacing w:after="60"/>
        <w:ind w:left="360" w:hanging="259"/>
      </w:pPr>
      <w:r>
        <w:t>4. Desactivar una institución no elimina su historial ni sus relaciones anteriores.</w:t>
      </w:r>
    </w:p>
    <w:p>
      <w:pPr>
        <w:spacing w:after="60"/>
        <w:ind w:left="360" w:hanging="259"/>
      </w:pPr>
      <w:r>
        <w:t>5. Las consultas permiten buscar y filtrar por los datos y estados autorizados.</w:t>
      </w:r>
    </w:p>
    <w:p>
      <w:pPr>
        <w:spacing w:after="60"/>
        <w:ind w:left="360" w:hanging="259"/>
      </w:pPr>
      <w:r>
        <w:t>6. Las modificaciones quedan auditadas.</w:t>
      </w:r>
    </w:p>
    <w:p>
      <w:pPr>
        <w:pStyle w:val="Heading2"/>
      </w:pPr>
      <w:r>
        <w:t>Épica WEB-03 — Personas y procesos de donación</w:t>
      </w:r>
    </w:p>
    <w:p>
      <w:pPr>
        <w:pStyle w:val="Heading2"/>
      </w:pPr>
      <w:r>
        <w:t>HU-WEB-006 — Mantener el expediente autorizado de un donante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sangre; Personal médico autorizado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RF-WEB-006, RF-MS-001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de banco de sangre o Personal médico autorizado, quiero registrar y actualizar la información permitida de un donante, para dar seguimiento a su participación sin atribuir al sistema decisiones de elegibilidad.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formulario diferencia el tipo de donación y solicita únicamente los datos, consentimientos, restricciones y estados aprobados para ese proceso.</w:t>
      </w:r>
    </w:p>
    <w:p>
      <w:pPr>
        <w:spacing w:after="60"/>
        <w:ind w:left="360" w:hanging="259"/>
      </w:pPr>
      <w:r>
        <w:t>2. Los campos obligatorios y posibles duplicados se validan antes de guardar.</w:t>
      </w:r>
    </w:p>
    <w:p>
      <w:pPr>
        <w:spacing w:after="60"/>
        <w:ind w:left="360" w:hanging="259"/>
      </w:pPr>
      <w:r>
        <w:t>3. La información sensible solo es visible para perfiles y ámbitos autorizados.</w:t>
      </w:r>
    </w:p>
    <w:p>
      <w:pPr>
        <w:spacing w:after="60"/>
        <w:ind w:left="360" w:hanging="259"/>
      </w:pPr>
      <w:r>
        <w:t>4. Una actualización conserva responsable, fecha e historial suficiente para reconstruir el cambio.</w:t>
      </w:r>
    </w:p>
    <w:p>
      <w:pPr>
        <w:spacing w:after="60"/>
        <w:ind w:left="360" w:hanging="259"/>
      </w:pPr>
      <w:r>
        <w:t>5. El sistema no declara elegible a una persona por sí mismo; registra o muestra la decisión emitida por personal autorizado.</w:t>
      </w:r>
    </w:p>
    <w:p>
      <w:pPr>
        <w:spacing w:after="60"/>
        <w:ind w:left="360" w:hanging="259"/>
      </w:pPr>
      <w:r>
        <w:t>6. Las diferencias entre donación de sangre y donación de órganos no se reducen a un único flujo genérico.</w:t>
      </w:r>
    </w:p>
    <w:p>
      <w:pPr>
        <w:pStyle w:val="Heading2"/>
      </w:pPr>
      <w:r>
        <w:t>HU-WEB-007 — Mantener el expediente autorizado de un receptor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RF-WEB-007, RF-MS-001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Personal médico autorizado, quiero registrar y actualizar receptores y su participación en procesos o listas autorizadas, para gestionar sus necesidades con información vigente y protegida.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Se registran únicamente los datos de identificación, atención, necesidad, institución y estado definidos y autorizados para el proceso.</w:t>
      </w:r>
    </w:p>
    <w:p>
      <w:pPr>
        <w:spacing w:after="60"/>
        <w:ind w:left="360" w:hanging="259"/>
      </w:pPr>
      <w:r>
        <w:t>2. La urgencia y cualquier condición clínica son capturadas o confirmadas por personal autorizado, no inferidas por el sistema.</w:t>
      </w:r>
    </w:p>
    <w:p>
      <w:pPr>
        <w:spacing w:after="60"/>
        <w:ind w:left="360" w:hanging="259"/>
      </w:pPr>
      <w:r>
        <w:t>3. Los procesos de sangre y de órganos presentan campos, estados y validaciones diferenciados.</w:t>
      </w:r>
    </w:p>
    <w:p>
      <w:pPr>
        <w:spacing w:after="60"/>
        <w:ind w:left="360" w:hanging="259"/>
      </w:pPr>
      <w:r>
        <w:t>4. El receptor no obtiene una cuenta de acceso por el solo hecho de ser registrado.</w:t>
      </w:r>
    </w:p>
    <w:p>
      <w:pPr>
        <w:spacing w:after="60"/>
        <w:ind w:left="360" w:hanging="259"/>
      </w:pPr>
      <w:r>
        <w:t>5. Los cambios conservan autor, fecha, motivo cuando corresponda e historial auditable.</w:t>
      </w:r>
    </w:p>
    <w:p>
      <w:pPr>
        <w:spacing w:after="60"/>
        <w:ind w:left="360" w:hanging="259"/>
      </w:pPr>
      <w:r>
        <w:t>6. Una consulta fuera del ámbito autorizado se deniega y no revela la existencia del expediente.</w:t>
      </w:r>
    </w:p>
    <w:p>
      <w:pPr>
        <w:pStyle w:val="Heading2"/>
      </w:pPr>
      <w:r>
        <w:t>Épica WEB-04 — Inventario regional</w:t>
      </w:r>
    </w:p>
    <w:p>
      <w:pPr>
        <w:pStyle w:val="Heading2"/>
      </w:pPr>
      <w:r>
        <w:t>HU-WEB-008 — Gestionar inventario sanguíneo y caducidad demostrativa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Demostrativa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RF-WEB-008, RF-MS-002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de banco de sangre, quiero registrar, consultar y actualizar unidades sanguíneas ficticias, para conocer el inventario disponible y demostrar su trazabilidad y control de caducidad.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Cada unidad recibe un identificador de trazabilidad único y conserva el tipo de componente, los datos temporales, la ubicación y el estado definidos para el MVP.</w:t>
      </w:r>
    </w:p>
    <w:p>
      <w:pPr>
        <w:spacing w:after="60"/>
        <w:ind w:left="360" w:hanging="259"/>
      </w:pPr>
      <w:r>
        <w:t>2. Las consultas permiten búsqueda, filtros y paginación por institución, componente, estado y proximidad de caducidad.</w:t>
      </w:r>
    </w:p>
    <w:p>
      <w:pPr>
        <w:spacing w:after="60"/>
        <w:ind w:left="360" w:hanging="259"/>
      </w:pPr>
      <w:r>
        <w:t>3. Solo se permiten transiciones de estado configuradas y cada transición conserva responsable, fecha y motivo cuando aplique.</w:t>
      </w:r>
    </w:p>
    <w:p>
      <w:pPr>
        <w:spacing w:after="60"/>
        <w:ind w:left="360" w:hanging="259"/>
      </w:pPr>
      <w:r>
        <w:t>4. La proximidad de caducidad se calcula con un parámetro demostrativo visible y configurable, no con una regla presentada como criterio médico oficial.</w:t>
      </w:r>
    </w:p>
    <w:p>
      <w:pPr>
        <w:spacing w:after="60"/>
        <w:ind w:left="360" w:hanging="259"/>
      </w:pPr>
      <w:r>
        <w:t>5. Una unidad vencida o dada de baja no aparece como disponible para nuevas operaciones.</w:t>
      </w:r>
    </w:p>
    <w:p>
      <w:pPr>
        <w:spacing w:after="60"/>
        <w:ind w:left="360" w:hanging="259"/>
      </w:pPr>
      <w:r>
        <w:t>6. El alta y los cambios se guardan en PostgreSQL y producen evidencia básica de auditoría.</w:t>
      </w:r>
    </w:p>
    <w:p>
      <w:pPr>
        <w:pStyle w:val="Heading2"/>
      </w:pPr>
      <w:r>
        <w:t>HU-WEB-009 — Gestionar disponibilidad y viabilidad de órganos por separado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RF-WEB-009, RF-MS-002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Personal médico autorizado, quiero consultar y mantener la disponibilidad y viabilidad documentada de órganos mediante un flujo especializado, para evitar aplicarles el ciclo ordinario del inventario sanguíneo.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flujo distingue órganos de unidades sanguíneas en datos, estados, tiempos y responsables.</w:t>
      </w:r>
    </w:p>
    <w:p>
      <w:pPr>
        <w:spacing w:after="60"/>
        <w:ind w:left="360" w:hanging="259"/>
      </w:pPr>
      <w:r>
        <w:t>2. Solo se capturan criterios de conservación o viabilidad provenientes de reglas autorizadas y versionadas.</w:t>
      </w:r>
    </w:p>
    <w:p>
      <w:pPr>
        <w:spacing w:after="60"/>
        <w:ind w:left="360" w:hanging="259"/>
      </w:pPr>
      <w:r>
        <w:t>3. El sistema muestra la procedencia, la hora de actualización y los datos faltantes relevantes.</w:t>
      </w:r>
    </w:p>
    <w:p>
      <w:pPr>
        <w:spacing w:after="60"/>
        <w:ind w:left="360" w:hanging="259"/>
      </w:pPr>
      <w:r>
        <w:t>4. Ningún cambio de disponibilidad equivale por sí mismo a una asignación o autorización clínica.</w:t>
      </w:r>
    </w:p>
    <w:p>
      <w:pPr>
        <w:spacing w:after="60"/>
        <w:ind w:left="360" w:hanging="259"/>
      </w:pPr>
      <w:r>
        <w:t>5. Los cambios quedan limitados al ámbito permitido y se registran para auditoría.</w:t>
      </w:r>
    </w:p>
    <w:p>
      <w:pPr>
        <w:pStyle w:val="Heading2"/>
      </w:pPr>
      <w:r>
        <w:t>Épica WEB-05 — Solicitudes, estudios y asignación</w:t>
      </w:r>
    </w:p>
    <w:p>
      <w:pPr>
        <w:pStyle w:val="Heading2"/>
      </w:pPr>
      <w:r>
        <w:t>HU-WEB-010 — Registrar y dar seguimiento a una solicitud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RF-WEB-010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Personal médico autorizado, quiero registrar y consultar solicitudes ordinarias o urgentes, para coordinar la atención de una necesidad documentada.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solicitud conserva folio, receptor, institución solicitante, necesidad, responsable, fecha y urgencia autorizada.</w:t>
      </w:r>
    </w:p>
    <w:p>
      <w:pPr>
        <w:spacing w:after="60"/>
        <w:ind w:left="360" w:hanging="259"/>
      </w:pPr>
      <w:r>
        <w:t>2. El flujo y los datos obligatorios se diferencian entre sangre y órganos.</w:t>
      </w:r>
    </w:p>
    <w:p>
      <w:pPr>
        <w:spacing w:after="60"/>
        <w:ind w:left="360" w:hanging="259"/>
      </w:pPr>
      <w:r>
        <w:t>3. Una solicitud incompleta no avanza a evaluación y el sistema indica qué información falta.</w:t>
      </w:r>
    </w:p>
    <w:p>
      <w:pPr>
        <w:spacing w:after="60"/>
        <w:ind w:left="360" w:hanging="259"/>
      </w:pPr>
      <w:r>
        <w:t>4. La urgencia es registrada o confirmada por personal autorizado y no se deduce automáticamente de datos parciales.</w:t>
      </w:r>
    </w:p>
    <w:p>
      <w:pPr>
        <w:spacing w:after="60"/>
        <w:ind w:left="360" w:hanging="259"/>
      </w:pPr>
      <w:r>
        <w:t>5. Los cambios de estado siguen las transiciones definidas y conservan su historial.</w:t>
      </w:r>
    </w:p>
    <w:p>
      <w:pPr>
        <w:spacing w:after="60"/>
        <w:ind w:left="360" w:hanging="259"/>
      </w:pPr>
      <w:r>
        <w:t>6. El registro y los cambios críticos generan auditoría y las notificaciones configuradas.</w:t>
      </w:r>
    </w:p>
    <w:p>
      <w:pPr>
        <w:pStyle w:val="Heading2"/>
      </w:pPr>
      <w:r>
        <w:t>HU-WEB-011 — Capturar y consultar pruebas o estudios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sangre; Personal médico autorizado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RF-WEB-011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de banco de sangre o Personal médico autorizado, quiero capturar y consultar pruebas y estudios, para que el proceso utilice resultados identificables y revisables.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Cada resultado conserva tipo de prueba o estudio, sujeto o recurso relacionado, responsable, fecha, estado y fuente definida.</w:t>
      </w:r>
    </w:p>
    <w:p>
      <w:pPr>
        <w:spacing w:after="60"/>
        <w:ind w:left="360" w:hanging="259"/>
      </w:pPr>
      <w:r>
        <w:t>2. Los campos y validaciones aplicables a sangre se mantienen separados de los correspondientes a órganos y tejidos.</w:t>
      </w:r>
    </w:p>
    <w:p>
      <w:pPr>
        <w:spacing w:after="60"/>
        <w:ind w:left="360" w:hanging="259"/>
      </w:pPr>
      <w:r>
        <w:t>3. Los resultados incompletos, contradictorios o pendientes se muestran con su estado y no se presentan como confirmados.</w:t>
      </w:r>
    </w:p>
    <w:p>
      <w:pPr>
        <w:spacing w:after="60"/>
        <w:ind w:left="360" w:hanging="259"/>
      </w:pPr>
      <w:r>
        <w:t>4. La modificación o corrección conserva el resultado anterior, la justificación y el responsable.</w:t>
      </w:r>
    </w:p>
    <w:p>
      <w:pPr>
        <w:spacing w:after="60"/>
        <w:ind w:left="360" w:hanging="259"/>
      </w:pPr>
      <w:r>
        <w:t>5. Capturar un resultado no autoriza automáticamente una disponibilidad, compatibilidad o asignación.</w:t>
      </w:r>
    </w:p>
    <w:p>
      <w:pPr>
        <w:spacing w:after="60"/>
        <w:ind w:left="360" w:hanging="259"/>
      </w:pPr>
      <w:r>
        <w:t>6. El acceso y los cambios se auditan conforme a su sensibilidad.</w:t>
      </w:r>
    </w:p>
    <w:p>
      <w:pPr>
        <w:pStyle w:val="Heading2"/>
      </w:pPr>
      <w:r>
        <w:t>HU-WEB-012 — Autorizar y controlar una asignación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RF-WEB-013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Coordinador regional con la autorización humana requerida, quiero reservar, asignar, liberar, cancelar o reasignar un recurso, para coordinar su uso sin duplicidades y con una decisión transparente.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Antes de confirmar se muestran la solicitud, el recurso, el resultado de apoyo disponible, los datos faltantes y las advertencias aplicables.</w:t>
      </w:r>
    </w:p>
    <w:p>
      <w:pPr>
        <w:spacing w:after="60"/>
        <w:ind w:left="360" w:hanging="259"/>
      </w:pPr>
      <w:r>
        <w:t>2. La asignación exige confirmación de la persona autorizada y conserva decisión, responsable, fecha y justificación.</w:t>
      </w:r>
    </w:p>
    <w:p>
      <w:pPr>
        <w:spacing w:after="60"/>
        <w:ind w:left="360" w:hanging="259"/>
      </w:pPr>
      <w:r>
        <w:t>3. Una transacción, restricción o bloqueo impide que el mismo recurso quede asignado simultáneamente a más de una solicitud.</w:t>
      </w:r>
    </w:p>
    <w:p>
      <w:pPr>
        <w:spacing w:after="60"/>
        <w:ind w:left="360" w:hanging="259"/>
      </w:pPr>
      <w:r>
        <w:t>4. Liberar, cancelar o reasignar requiere una transición válida y un motivo; no sobrescribe la decisión anterior.</w:t>
      </w:r>
    </w:p>
    <w:p>
      <w:pPr>
        <w:spacing w:after="60"/>
        <w:ind w:left="360" w:hanging="259"/>
      </w:pPr>
      <w:r>
        <w:t>5. El cálculo que apoyó la decisión permanece sin alteración y se vincula con la aceptación, rechazo o excepción humana.</w:t>
      </w:r>
    </w:p>
    <w:p>
      <w:pPr>
        <w:spacing w:after="60"/>
        <w:ind w:left="360" w:hanging="259"/>
      </w:pPr>
      <w:r>
        <w:t>6. Las instituciones y personas involucradas reciben las notificaciones autorizadas y la operación queda auditada.</w:t>
      </w:r>
    </w:p>
    <w:p>
      <w:pPr>
        <w:pStyle w:val="Heading2"/>
      </w:pPr>
      <w:r>
        <w:t>Épica WEB-06 — Supervisión, documentos y auditoría</w:t>
      </w:r>
    </w:p>
    <w:p>
      <w:pPr>
        <w:pStyle w:val="Heading2"/>
      </w:pPr>
      <w:r>
        <w:t>HU-WEB-013 — Consultar un panel acorde con el perfil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Transversal: panel inicial en el primer parcial y regional posteriormente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Primer parcial: Administrador; Operador de banco de sangre; Auditor. Posteriormente: Personal médico autorizado; 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RF-WEB-015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usuario autorizado, quiero consultar un panel y mis notificaciones conforme a mi perfil, para identificar el estado de las tareas que debo atender.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panel muestra únicamente indicadores, accesos y notificaciones permitidos por el perfil y el ámbito institucional.</w:t>
      </w:r>
    </w:p>
    <w:p>
      <w:pPr>
        <w:spacing w:after="60"/>
        <w:ind w:left="360" w:hanging="259"/>
      </w:pPr>
      <w:r>
        <w:t>2. En el primer parcial, el panel principal básico de los perfiles iniciales presenta datos persistidos del inventario sanguíneo ficticio, catálogos y operaciones auditadas.</w:t>
      </w:r>
    </w:p>
    <w:p>
      <w:pPr>
        <w:spacing w:after="60"/>
        <w:ind w:left="360" w:hanging="259"/>
      </w:pPr>
      <w:r>
        <w:t>3. En incrementos posteriores evoluciona a una vista regional con solicitudes, caducidades, traslados y desempeño autorizado.</w:t>
      </w:r>
    </w:p>
    <w:p>
      <w:pPr>
        <w:spacing w:after="60"/>
        <w:ind w:left="360" w:hanging="259"/>
      </w:pPr>
      <w:r>
        <w:t>4. En la evolución regional, las gráficas se elaboran con Highcharts y sus valores pueden contrastarse con la consulta que los origina.</w:t>
      </w:r>
    </w:p>
    <w:p>
      <w:pPr>
        <w:spacing w:after="60"/>
        <w:ind w:left="360" w:hanging="259"/>
      </w:pPr>
      <w:r>
        <w:t>5. En incrementos posteriores, las notificaciones permiten distinguir al menos pendientes y leídas sin alterar el hecho que las produjo.</w:t>
      </w:r>
    </w:p>
    <w:p>
      <w:pPr>
        <w:spacing w:after="60"/>
        <w:ind w:left="360" w:hanging="259"/>
      </w:pPr>
      <w:r>
        <w:t>6. Un dato inexistente o no disponible se indica expresamente y no se reemplaza con cifras simuladas no identificadas.</w:t>
      </w:r>
    </w:p>
    <w:p>
      <w:pPr>
        <w:pStyle w:val="Heading2"/>
      </w:pPr>
      <w:r>
        <w:t>HU-WEB-014 — Generar reportes autorizados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regional; Operador de banco de sangre; Auditor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RF-WEB-016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Coordinador regional, Operador o Auditor autorizado, quiero filtrar, generar y exportar reportes, para documentar operaciones y atender necesidades de seguimiento previamente definidas.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usuario elige únicamente plantillas, periodos, instituciones y datos permitidos para su perfil.</w:t>
      </w:r>
    </w:p>
    <w:p>
      <w:pPr>
        <w:spacing w:after="60"/>
        <w:ind w:left="360" w:hanging="259"/>
      </w:pPr>
      <w:r>
        <w:t>2. El reporte identifica fecha de generación, filtros, responsable y procedencia de los datos.</w:t>
      </w:r>
    </w:p>
    <w:p>
      <w:pPr>
        <w:spacing w:after="60"/>
        <w:ind w:left="360" w:hanging="259"/>
      </w:pPr>
      <w:r>
        <w:t>3. La exportación conserva el mínimo de información necesaria y aplica el ocultamiento definido.</w:t>
      </w:r>
    </w:p>
    <w:p>
      <w:pPr>
        <w:spacing w:after="60"/>
        <w:ind w:left="360" w:hanging="259"/>
      </w:pPr>
      <w:r>
        <w:t>4. Un formato no validado por la autoridad se identifica como reporte académico u operativo y no como cumplimiento regulatorio.</w:t>
      </w:r>
    </w:p>
    <w:p>
      <w:pPr>
        <w:spacing w:after="60"/>
        <w:ind w:left="360" w:hanging="259"/>
      </w:pPr>
      <w:r>
        <w:t>5. La generación y descarga de reportes sensibles quedan auditadas.</w:t>
      </w:r>
    </w:p>
    <w:p>
      <w:pPr>
        <w:pStyle w:val="Heading2"/>
      </w:pPr>
      <w:r>
        <w:t>HU-WEB-015 — Gestionar archivos y evidencias autorizadas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sangre; Personal médico autorizado; Coordinador regional; Auditor, según permiso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RF-WEB-017, RF-DAT-004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usuario autorizado, quiero adjuntar y consultar archivos o evidencias vinculados con una operación, para completar su documentación sin exponer los objetos privados.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sistema valida tipo, tamaño, finalidad y permisos antes de aceptar un archivo.</w:t>
      </w:r>
    </w:p>
    <w:p>
      <w:pPr>
        <w:spacing w:after="60"/>
        <w:ind w:left="360" w:hanging="259"/>
      </w:pPr>
      <w:r>
        <w:t>2. El objeto se almacena de forma privada en Google Cloud Storage y las bases conservan su referencia y metadatos, no el archivo grande.</w:t>
      </w:r>
    </w:p>
    <w:p>
      <w:pPr>
        <w:spacing w:after="60"/>
        <w:ind w:left="360" w:hanging="259"/>
      </w:pPr>
      <w:r>
        <w:t>3. La consulta o descarga utiliza un mecanismo temporal autorizado y no revela una ruta pública permanente.</w:t>
      </w:r>
    </w:p>
    <w:p>
      <w:pPr>
        <w:spacing w:after="60"/>
        <w:ind w:left="360" w:hanging="259"/>
      </w:pPr>
      <w:r>
        <w:t>4. Cada archivo se vincula con su propietario o evento y conserva tipo, tamaño, hash, privacidad, estado y fecha cuando correspondan.</w:t>
      </w:r>
    </w:p>
    <w:p>
      <w:pPr>
        <w:spacing w:after="60"/>
        <w:ind w:left="360" w:hanging="259"/>
      </w:pPr>
      <w:r>
        <w:t>5. Una carga rechazada explica la causa sin procesar contenido inseguro ni dejar referencias huérfanas.</w:t>
      </w:r>
    </w:p>
    <w:p>
      <w:pPr>
        <w:spacing w:after="60"/>
        <w:ind w:left="360" w:hanging="259"/>
      </w:pPr>
      <w:r>
        <w:t>6. La carga, consulta y descarga sensibles quedan auditadas.</w:t>
      </w:r>
    </w:p>
    <w:p>
      <w:pPr>
        <w:pStyle w:val="Heading2"/>
      </w:pPr>
      <w:r>
        <w:t>HU-WEB-016 — Consultar la trazabilidad y la auditoría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Transversal: alcance básico en el 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Auditor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RF-WEB-018, RF-MS-008, RF-DAT-005, RF-SEC-003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Auditor, quiero buscar y consultar el historial autorizado de accesos, cambios y decisiones, para reconstruir qué ocurrió sin modificar la operación revisada.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consulta permite filtrar por periodo, actor, institución, acción, entidad, resultado y nivel autorizado de sensibilidad.</w:t>
      </w:r>
    </w:p>
    <w:p>
      <w:pPr>
        <w:spacing w:after="60"/>
        <w:ind w:left="360" w:hanging="259"/>
      </w:pPr>
      <w:r>
        <w:t>2. Cada evento muestra como mínimo identificador, actor, tiempo, acción, entidad y resultado; incluye la información adicional necesaria para reconstruir operaciones críticas.</w:t>
      </w:r>
    </w:p>
    <w:p>
      <w:pPr>
        <w:spacing w:after="60"/>
        <w:ind w:left="360" w:hanging="259"/>
      </w:pPr>
      <w:r>
        <w:t>3. En el primer parcial se auditan autenticación, usuarios, catálogos e inventario; posteriormente se agregan accesos sensibles, algoritmos, aprobaciones, asignaciones y custodia.</w:t>
      </w:r>
    </w:p>
    <w:p>
      <w:pPr>
        <w:spacing w:after="60"/>
        <w:ind w:left="360" w:hanging="259"/>
      </w:pPr>
      <w:r>
        <w:t>4. El Auditor tiene acceso de solo lectura y no puede editar ni eliminar eventos ni operaciones examinadas.</w:t>
      </w:r>
    </w:p>
    <w:p>
      <w:pPr>
        <w:spacing w:after="60"/>
        <w:ind w:left="360" w:hanging="259"/>
      </w:pPr>
      <w:r>
        <w:t>5. Una corrección se registra como un evento adicional relacionado y no sobrescribe el historial original.</w:t>
      </w:r>
    </w:p>
    <w:p>
      <w:pPr>
        <w:spacing w:after="60"/>
        <w:ind w:left="360" w:hanging="259"/>
      </w:pPr>
      <w:r>
        <w:t>6. La exportación respeta ámbito, minimización y permisos, y su propia ejecución también queda auditada.</w:t>
      </w:r>
    </w:p>
    <w:p>
      <w:pPr>
        <w:pStyle w:val="Heading1"/>
        <w:pageBreakBefore/>
      </w:pPr>
      <w:r>
        <w:t>4. Módulo de microservicios</w:t>
      </w:r>
    </w:p>
    <w:p>
      <w:r>
        <w:t>Las siguientes historias expresan resultados del negocio proporcionados principalmente por los microservicios. Las aplicaciones cliente podrán presentarlos únicamente a los perfiles autorizados y mediante el contrato correspondiente.</w:t>
      </w:r>
    </w:p>
    <w:p>
      <w:pPr>
        <w:pStyle w:val="Heading2"/>
      </w:pPr>
      <w:r>
        <w:t>Épica MS-01 — Apoyo explicable a las decisiones</w:t>
      </w:r>
    </w:p>
    <w:p>
      <w:pPr>
        <w:pStyle w:val="Heading2"/>
      </w:pPr>
      <w:r>
        <w:t>HU-MS-001 — Evaluar compatibilidad y priorización de forma explicable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Personal médico autorizado; 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RF-WEB-012, RF-MS-003, RF-MS-004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Personal médico autorizado o Coordinador regional, quiero recibir candidatos compatibles y un ranking explicable, para revisar alternativas sin delegar al sistema la decisión clínica o de asignación.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evaluación utiliza únicamente datos suficientes y reglas de compatibilidad, urgencia y prioridad autorizadas, versionadas o identificadas expresamente como demostrativas; cuando corresponda, puede considerar resultados autorizados de comparación u optimización por distancia y tiempo.</w:t>
      </w:r>
    </w:p>
    <w:p>
      <w:pPr>
        <w:spacing w:after="60"/>
        <w:ind w:left="360" w:hanging="259"/>
      </w:pPr>
      <w:r>
        <w:t>2. Los procesos sanguíneos y HLA se calculan y explican conforme a sus reglas diferenciadas; la falta de información se muestra y no se interpreta como compatibilidad.</w:t>
      </w:r>
    </w:p>
    <w:p>
      <w:pPr>
        <w:spacing w:after="60"/>
        <w:ind w:left="360" w:hanging="259"/>
      </w:pPr>
      <w:r>
        <w:t>3. La urgencia utilizada corresponde a la registrada por personal autorizado y no es creada o modificada por el algoritmo.</w:t>
      </w:r>
    </w:p>
    <w:p>
      <w:pPr>
        <w:spacing w:after="60"/>
        <w:ind w:left="360" w:hanging="259"/>
      </w:pPr>
      <w:r>
        <w:t>4. Cada resultado conserva entradas relevantes, factores, ponderaciones, versión, fecha, posición y explicación reproducible.</w:t>
      </w:r>
    </w:p>
    <w:p>
      <w:pPr>
        <w:spacing w:after="60"/>
        <w:ind w:left="360" w:hanging="259"/>
      </w:pPr>
      <w:r>
        <w:t>5. El usuario puede registrar aceptación, rechazo, solicitud de reevaluación o excepción justificada sin alterar el cálculo original.</w:t>
      </w:r>
    </w:p>
    <w:p>
      <w:pPr>
        <w:spacing w:after="60"/>
        <w:ind w:left="360" w:hanging="259"/>
      </w:pPr>
      <w:r>
        <w:t>6. El resultado indica que es apoyo a la decisión y nunca reserva, asigna o descarta definitivamente un recurso por sí mismo.</w:t>
      </w:r>
    </w:p>
    <w:p>
      <w:pPr>
        <w:pStyle w:val="Heading2"/>
      </w:pPr>
      <w:r>
        <w:t>HU-MS-002 — Planear y seguir un traslado con cadena de custodia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RF-WEB-014, RF-MS-005, RF-MS-006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Coordinador regional, quiero comparar u optimizar alternativas por distancia y tiempo, programar un traslado y consultar su cadena de custodia, para coordinar el movimiento del recurso entre instituciones.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comparación u optimización presenta distancia y tiempo estimado e identifica origen, destino, fuente geográfica, fecha del cálculo y sus limitaciones.</w:t>
      </w:r>
    </w:p>
    <w:p>
      <w:pPr>
        <w:spacing w:after="60"/>
        <w:ind w:left="360" w:hanging="259"/>
      </w:pPr>
      <w:r>
        <w:t>2. La orden de traslado conserva recurso, instituciones, responsable asignado, horario y estado, mostrando solo la información clínica mínima indispensable.</w:t>
      </w:r>
    </w:p>
    <w:p>
      <w:pPr>
        <w:spacing w:after="60"/>
        <w:ind w:left="360" w:hanging="259"/>
      </w:pPr>
      <w:r>
        <w:t>3. Recolección, salida, incidencias, entrega y recepción se registran como eventos consecutivos con responsable, tiempo, condición y ubicación autorizada cuando aplique.</w:t>
      </w:r>
    </w:p>
    <w:p>
      <w:pPr>
        <w:spacing w:after="60"/>
        <w:ind w:left="360" w:hanging="259"/>
      </w:pPr>
      <w:r>
        <w:t>4. Los eventos de custodia son append-only; una corrección crea un nuevo evento relacionado y no borra el anterior.</w:t>
      </w:r>
    </w:p>
    <w:p>
      <w:pPr>
        <w:spacing w:after="60"/>
        <w:ind w:left="360" w:hanging="259"/>
      </w:pPr>
      <w:r>
        <w:t>5. Reintentar una confirmación no duplica el evento y una secuencia inválida se rechaza de manera segura.</w:t>
      </w:r>
    </w:p>
    <w:p>
      <w:pPr>
        <w:spacing w:after="60"/>
        <w:ind w:left="360" w:hanging="259"/>
      </w:pPr>
      <w:r>
        <w:t>6. El coordinador puede consultar el estado actual y el historial, incluida la evidencia autorizada, sin modificar eventos ya confirmados.</w:t>
      </w:r>
    </w:p>
    <w:p>
      <w:pPr>
        <w:pStyle w:val="Heading2"/>
      </w:pPr>
      <w:r>
        <w:t>Épica MS-02 — Alertas y optimización operativa</w:t>
      </w:r>
    </w:p>
    <w:p>
      <w:pPr>
        <w:pStyle w:val="Heading2"/>
      </w:pPr>
      <w:r>
        <w:t>HU-MS-003 — Recibir y atender alertas operativas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Administrador; Operador de banco de sangre; Personal médico autorizado; Coordinador regional; Personal de traslado; Donante; Auditor, según el tipo de alerta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RF-MS-007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usuario autorizado, quiero recibir y atender alertas relevantes para mis responsabilidades, para reaccionar a urgencias, caducidades, retrasos o inconsistencias sin recibir duplicados innecesarios.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Cada alerta conserva tipo, origen, entidad relacionada, prioridad operativa, destinatario, fecha y estado.</w:t>
      </w:r>
    </w:p>
    <w:p>
      <w:pPr>
        <w:spacing w:after="60"/>
        <w:ind w:left="360" w:hanging="259"/>
      </w:pPr>
      <w:r>
        <w:t>2. La alerta se dirige únicamente a perfiles y ámbitos que pueden actuar sobre su causa.</w:t>
      </w:r>
    </w:p>
    <w:p>
      <w:pPr>
        <w:spacing w:after="60"/>
        <w:ind w:left="360" w:hanging="259"/>
      </w:pPr>
      <w:r>
        <w:t>3. Los eventos repetidos dentro de la regla definida se deduplican o relacionan sin ocultar su frecuencia.</w:t>
      </w:r>
    </w:p>
    <w:p>
      <w:pPr>
        <w:spacing w:after="60"/>
        <w:ind w:left="360" w:hanging="259"/>
      </w:pPr>
      <w:r>
        <w:t>4. El usuario puede marcarla como leída, atendida o cerrada conforme al flujo permitido y queda registro de la acción.</w:t>
      </w:r>
    </w:p>
    <w:p>
      <w:pPr>
        <w:spacing w:after="60"/>
        <w:ind w:left="360" w:hanging="259"/>
      </w:pPr>
      <w:r>
        <w:t>5. Las reglas de urgencia, caducidad o inconsistencia son configuradas y versionadas; las demostrativas se muestran como tales.</w:t>
      </w:r>
    </w:p>
    <w:p>
      <w:pPr>
        <w:spacing w:after="60"/>
        <w:ind w:left="360" w:hanging="259"/>
      </w:pPr>
      <w:r>
        <w:t>6. Una alerta informa y orienta la revisión, pero no ejecuta automáticamente una baja, transferencia o decisión clínica.</w:t>
      </w:r>
    </w:p>
    <w:p>
      <w:pPr>
        <w:pStyle w:val="Heading2"/>
      </w:pPr>
      <w:r>
        <w:t>HU-MS-004 — Consultar pronósticos de caducidad y sugerencias de balanceo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Demostrativa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RF-MS-009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Coordinador regional, quiero consultar riesgos pronosticados de caducidad y sugerencias de balanceo, para identificar posibles excedentes o faltantes antes de decidir una transferencia.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resultado identifica el periodo, los datos históricos o sintéticos utilizados, la versión del método y sus limitaciones.</w:t>
      </w:r>
    </w:p>
    <w:p>
      <w:pPr>
        <w:spacing w:after="60"/>
        <w:ind w:left="360" w:hanging="259"/>
      </w:pPr>
      <w:r>
        <w:t>2. El pronóstico se distingue de la fecha de caducidad registrada y no modifica el estado real de una unidad.</w:t>
      </w:r>
    </w:p>
    <w:p>
      <w:pPr>
        <w:spacing w:after="60"/>
        <w:ind w:left="360" w:hanging="259"/>
      </w:pPr>
      <w:r>
        <w:t>3. La sugerencia considera únicamente inventario y demanda autorizados dentro del ámbito regional disponible.</w:t>
      </w:r>
    </w:p>
    <w:p>
      <w:pPr>
        <w:spacing w:after="60"/>
        <w:ind w:left="360" w:hanging="259"/>
      </w:pPr>
      <w:r>
        <w:t>4. Se muestran factores y una explicación suficiente para revisar por qué se sugirió una acción.</w:t>
      </w:r>
    </w:p>
    <w:p>
      <w:pPr>
        <w:spacing w:after="60"/>
        <w:ind w:left="360" w:hanging="259"/>
      </w:pPr>
      <w:r>
        <w:t>5. Ninguna transferencia se ejecuta automáticamente; el personal autorizado decide si inicia el proceso correspondiente.</w:t>
      </w:r>
    </w:p>
    <w:p>
      <w:pPr>
        <w:spacing w:after="60"/>
        <w:ind w:left="360" w:hanging="259"/>
      </w:pPr>
      <w:r>
        <w:t>6. El método cuenta con casos de prueba y métricas documentadas que permiten comparar su comportamiento.</w:t>
      </w:r>
    </w:p>
    <w:p>
      <w:pPr>
        <w:pStyle w:val="Heading1"/>
        <w:pageBreakBefore/>
      </w:pPr>
      <w:r>
        <w:t>5. Aplicación móvil Android</w:t>
      </w:r>
    </w:p>
    <w:p>
      <w:pPr>
        <w:pStyle w:val="Heading2"/>
      </w:pPr>
      <w:r>
        <w:t>Épica MOV-01 — Experiencia del donante</w:t>
      </w:r>
    </w:p>
    <w:p>
      <w:pPr>
        <w:pStyle w:val="Heading2"/>
      </w:pPr>
      <w:r>
        <w:t>HU-MOV-001 — Acceder al perfil móvil autorizado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Donante; Personal de traslado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RF-MOV-001, RF-SEC-001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Donante o Personal de traslado, quiero iniciar y cerrar sesión y consultar mi perfil desde la aplicación móvil, para utilizar únicamente las funciones correspondientes a mi rol.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Una sesión válida muestra el perfil y un menú diferenciado entre Donante y Personal de traslado.</w:t>
      </w:r>
    </w:p>
    <w:p>
      <w:pPr>
        <w:spacing w:after="60"/>
        <w:ind w:left="360" w:hanging="259"/>
      </w:pPr>
      <w:r>
        <w:t>2. La aplicación renueva el acceso solo mediante el mecanismo seguro definido y no solicita credenciales en cada operación válida.</w:t>
      </w:r>
    </w:p>
    <w:p>
      <w:pPr>
        <w:spacing w:after="60"/>
        <w:ind w:left="360" w:hanging="259"/>
      </w:pPr>
      <w:r>
        <w:t>3. Un token expirado, revocado o sin permisos impide la operación y conduce al flujo de recuperación correspondiente.</w:t>
      </w:r>
    </w:p>
    <w:p>
      <w:pPr>
        <w:spacing w:after="60"/>
        <w:ind w:left="360" w:hanging="259"/>
      </w:pPr>
      <w:r>
        <w:t>4. Al cerrar sesión se revocan o invalidan las credenciales aplicables y se elimina su copia local según la política definida.</w:t>
      </w:r>
    </w:p>
    <w:p>
      <w:pPr>
        <w:spacing w:after="60"/>
        <w:ind w:left="360" w:hanging="259"/>
      </w:pPr>
      <w:r>
        <w:t>5. El cambio de conectividad o un error del servicio se informa sin mostrar detalles internos ni mezclar datos de otra sesión.</w:t>
      </w:r>
    </w:p>
    <w:p>
      <w:pPr>
        <w:pStyle w:val="Heading2"/>
      </w:pPr>
      <w:r>
        <w:t>HU-MOV-002 — Enviar un registro preliminar de donante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Donante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RF-MOV-002, RF-MS-001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Donante potencial, quiero enviar un registro preliminar desde el móvil, para iniciar el contacto con una institución antes de la validación presencial o profesional.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formulario solicita solo los datos mínimos aprobados, explica su finalidad y obtiene las confirmaciones o consentimientos definidos.</w:t>
      </w:r>
    </w:p>
    <w:p>
      <w:pPr>
        <w:spacing w:after="60"/>
        <w:ind w:left="360" w:hanging="259"/>
      </w:pPr>
      <w:r>
        <w:t>2. Los campos se validan antes del envío y los posibles duplicados se manejan sin revelar expedientes existentes.</w:t>
      </w:r>
    </w:p>
    <w:p>
      <w:pPr>
        <w:spacing w:after="60"/>
        <w:ind w:left="360" w:hanging="259"/>
      </w:pPr>
      <w:r>
        <w:t>3. El registro queda identificado como preliminar y pendiente de validación; no declara elegibilidad ni crea automáticamente una donación.</w:t>
      </w:r>
    </w:p>
    <w:p>
      <w:pPr>
        <w:spacing w:after="60"/>
        <w:ind w:left="360" w:hanging="259"/>
      </w:pPr>
      <w:r>
        <w:t>4. El usuario recibe un folio o confirmación y puede consultar el estado permitido de su registro.</w:t>
      </w:r>
    </w:p>
    <w:p>
      <w:pPr>
        <w:spacing w:after="60"/>
        <w:ind w:left="360" w:hanging="259"/>
      </w:pPr>
      <w:r>
        <w:t>5. La información se envía al microservicio correspondiente y no se conecta directamente con ningún almacén.</w:t>
      </w:r>
    </w:p>
    <w:p>
      <w:pPr>
        <w:pStyle w:val="Heading2"/>
      </w:pPr>
      <w:r>
        <w:t>HU-MOV-003 — Consultar campañas y gestionar citas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Donante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RF-MOV-003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Donante, quiero consultar campañas y programar, consultar o cancelar una cita, para organizar mi participación en una institución disponible.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aplicación muestra campañas publicadas con institución, ubicación, periodo, disponibilidad y condiciones informativas autorizadas.</w:t>
      </w:r>
    </w:p>
    <w:p>
      <w:pPr>
        <w:spacing w:after="60"/>
        <w:ind w:left="360" w:hanging="259"/>
      </w:pPr>
      <w:r>
        <w:t>2. El usuario puede filtrar campañas con los criterios definidos sin exponer datos internos de inventario o de otros donantes.</w:t>
      </w:r>
    </w:p>
    <w:p>
      <w:pPr>
        <w:spacing w:after="60"/>
        <w:ind w:left="360" w:hanging="259"/>
      </w:pPr>
      <w:r>
        <w:t>3. Al programar una cita se valida el horario disponible y se presenta un resumen antes de confirmar.</w:t>
      </w:r>
    </w:p>
    <w:p>
      <w:pPr>
        <w:spacing w:after="60"/>
        <w:ind w:left="360" w:hanging="259"/>
      </w:pPr>
      <w:r>
        <w:t>4. La cita confirmada conserva folio, institución, fecha, estado y campaña relacionada cuando aplique.</w:t>
      </w:r>
    </w:p>
    <w:p>
      <w:pPr>
        <w:spacing w:after="60"/>
        <w:ind w:left="360" w:hanging="259"/>
      </w:pPr>
      <w:r>
        <w:t>5. Consultar o cancelar respeta las transiciones y plazos definidos y actualiza la información real del servicio.</w:t>
      </w:r>
    </w:p>
    <w:p>
      <w:pPr>
        <w:spacing w:after="60"/>
        <w:ind w:left="360" w:hanging="259"/>
      </w:pPr>
      <w:r>
        <w:t>6. Un conflicto de disponibilidad informa alternativas o la necesidad de reintentar sin crear citas duplicadas.</w:t>
      </w:r>
    </w:p>
    <w:p>
      <w:pPr>
        <w:pStyle w:val="Heading2"/>
      </w:pPr>
      <w:r>
        <w:t>HU-MOV-004 — Recibir avisos de elegibilidad o seguimiento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Donante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RF-MOV-004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Donante, quiero recibir avisos autorizados sobre elegibilidad o seguimiento, para conocer el siguiente paso sin interpretar una notificación como evaluación médica autónoma.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aviso deriva de una decisión registrada por personal o reglas autorizadas y muestra su fecha y entidad emisora.</w:t>
      </w:r>
    </w:p>
    <w:p>
      <w:pPr>
        <w:spacing w:after="60"/>
        <w:ind w:left="360" w:hanging="259"/>
      </w:pPr>
      <w:r>
        <w:t>2. El contenido se limita a la información necesaria y no incluye datos clínicos sensibles en una notificación visible sin autenticación.</w:t>
      </w:r>
    </w:p>
    <w:p>
      <w:pPr>
        <w:spacing w:after="60"/>
        <w:ind w:left="360" w:hanging="259"/>
      </w:pPr>
      <w:r>
        <w:t>3. El usuario puede abrir el aviso dentro de la sesión y consultar las instrucciones permitidas.</w:t>
      </w:r>
    </w:p>
    <w:p>
      <w:pPr>
        <w:spacing w:after="60"/>
        <w:ind w:left="360" w:hanging="259"/>
      </w:pPr>
      <w:r>
        <w:t>4. El aviso distingue entre información, pendiente de revisión y decisión confirmada.</w:t>
      </w:r>
    </w:p>
    <w:p>
      <w:pPr>
        <w:spacing w:after="60"/>
        <w:ind w:left="360" w:hanging="259"/>
      </w:pPr>
      <w:r>
        <w:t>5. Leer o descartar la notificación no modifica por sí mismo el estado clínico del donante.</w:t>
      </w:r>
    </w:p>
    <w:p>
      <w:pPr>
        <w:pStyle w:val="Heading2"/>
      </w:pPr>
      <w:r>
        <w:t>Épica MOV-02 — Operación del traslado</w:t>
      </w:r>
    </w:p>
    <w:p>
      <w:pPr>
        <w:pStyle w:val="Heading2"/>
      </w:pPr>
      <w:r>
        <w:t>HU-MOV-005 — Verificar y confirmar recolección o entrega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Personal de traslado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RF-MOV-005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Personal de traslado, quiero consultar mi orden, escanear el recurso y confirmar la recolección o entrega, para mantener la custodia vinculada con el objeto correcto.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aplicación muestra únicamente las órdenes asignadas al usuario y los datos logísticos indispensables.</w:t>
      </w:r>
    </w:p>
    <w:p>
      <w:pPr>
        <w:spacing w:after="60"/>
        <w:ind w:left="360" w:hanging="259"/>
      </w:pPr>
      <w:r>
        <w:t>2. El código escaneado se compara con el recurso y el evento esperado de la orden antes de permitir la confirmación.</w:t>
      </w:r>
    </w:p>
    <w:p>
      <w:pPr>
        <w:spacing w:after="60"/>
        <w:ind w:left="360" w:hanging="259"/>
      </w:pPr>
      <w:r>
        <w:t>3. Una discrepancia bloquea la confirmación, informa el motivo operativo y permite registrar la incidencia.</w:t>
      </w:r>
    </w:p>
    <w:p>
      <w:pPr>
        <w:spacing w:after="60"/>
        <w:ind w:left="360" w:hanging="259"/>
      </w:pPr>
      <w:r>
        <w:t>4. Una confirmación válida conserva responsable, fecha, ubicación autorizada, condición y resultado de la verificación.</w:t>
      </w:r>
    </w:p>
    <w:p>
      <w:pPr>
        <w:spacing w:after="60"/>
        <w:ind w:left="360" w:hanging="259"/>
      </w:pPr>
      <w:r>
        <w:t>5. Repetir el envío por un problema de red no duplica el evento confirmado.</w:t>
      </w:r>
    </w:p>
    <w:p>
      <w:pPr>
        <w:spacing w:after="60"/>
        <w:ind w:left="360" w:hanging="259"/>
      </w:pPr>
      <w:r>
        <w:t>6. El nuevo estado puede consultarse desde los demás componentes autorizados.</w:t>
      </w:r>
    </w:p>
    <w:p>
      <w:pPr>
        <w:pStyle w:val="Heading2"/>
      </w:pPr>
      <w:r>
        <w:t>HU-MOV-006 — Registrar ubicación y evidencia durante un traslado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Personal de traslado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RF-MOV-006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Personal de traslado, quiero registrar ubicación y evidencia fotográfica solo durante una orden autorizada, para documentar el recorrido o la condición del recurso con una finalidad limitada.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captura se habilita únicamente para una orden, evento y periodo activos asignados al usuario.</w:t>
      </w:r>
    </w:p>
    <w:p>
      <w:pPr>
        <w:spacing w:after="60"/>
        <w:ind w:left="360" w:hanging="259"/>
      </w:pPr>
      <w:r>
        <w:t>2. La aplicación solicita los permisos del dispositivo en contexto e informa la finalidad de ubicación y fotografía.</w:t>
      </w:r>
    </w:p>
    <w:p>
      <w:pPr>
        <w:spacing w:after="60"/>
        <w:ind w:left="360" w:hanging="259"/>
      </w:pPr>
      <w:r>
        <w:t>3. La evidencia permite confirmar o cancelar antes del envío y se vincula con el evento correspondiente.</w:t>
      </w:r>
    </w:p>
    <w:p>
      <w:pPr>
        <w:spacing w:after="60"/>
        <w:ind w:left="360" w:hanging="259"/>
      </w:pPr>
      <w:r>
        <w:t>4. Las imágenes se cargan al almacenamiento privado y la ubicación se conserva con la precisión y retención definidas.</w:t>
      </w:r>
    </w:p>
    <w:p>
      <w:pPr>
        <w:spacing w:after="60"/>
        <w:ind w:left="360" w:hanging="259"/>
      </w:pPr>
      <w:r>
        <w:t>5. Al finalizar el periodo autorizado cesa la captura y se eliminan las copias locales que ya no sean necesarias.</w:t>
      </w:r>
    </w:p>
    <w:p>
      <w:pPr>
        <w:spacing w:after="60"/>
        <w:ind w:left="360" w:hanging="259"/>
      </w:pPr>
      <w:r>
        <w:t>6. Una denegación de permiso se maneja de forma segura y muestra el procedimiento alternativo autorizado.</w:t>
      </w:r>
    </w:p>
    <w:p>
      <w:pPr>
        <w:pStyle w:val="Heading2"/>
      </w:pPr>
      <w:r>
        <w:t>HU-MOV-007 — Continuar operaciones permitidas sin conexión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Donante; Personal de traslado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RF-MOV-007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usuario móvil, quiero conservar temporalmente las operaciones permitidas cuando pierda conectividad y sincronizarlas después, para no perder información capturada durante una tarea autorizada.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aplicación indica claramente si está en línea, sin conexión o sincronizando.</w:t>
      </w:r>
    </w:p>
    <w:p>
      <w:pPr>
        <w:spacing w:after="60"/>
        <w:ind w:left="360" w:hanging="259"/>
      </w:pPr>
      <w:r>
        <w:t>2. Solo las operaciones previamente definidas como seguras pueden guardarse temporalmente; una decisión clínica o asignación no se confirma sin validación del servidor.</w:t>
      </w:r>
    </w:p>
    <w:p>
      <w:pPr>
        <w:spacing w:after="60"/>
        <w:ind w:left="360" w:hanging="259"/>
      </w:pPr>
      <w:r>
        <w:t>3. Los datos pendientes se protegen localmente y permanecen asociados con el usuario, dispositivo y operación correctos.</w:t>
      </w:r>
    </w:p>
    <w:p>
      <w:pPr>
        <w:spacing w:after="60"/>
        <w:ind w:left="360" w:hanging="259"/>
      </w:pPr>
      <w:r>
        <w:t>4. Al volver la conexión, los envíos usan identificadores idempotentes y no crean eventos duplicados.</w:t>
      </w:r>
    </w:p>
    <w:p>
      <w:pPr>
        <w:spacing w:after="60"/>
        <w:ind w:left="360" w:hanging="259"/>
      </w:pPr>
      <w:r>
        <w:t>5. Un conflicto, rechazo o token vencido permanece visible y requiere la acción indicada; no se descarta silenciosamente.</w:t>
      </w:r>
    </w:p>
    <w:p>
      <w:pPr>
        <w:spacing w:after="60"/>
        <w:ind w:left="360" w:hanging="259"/>
      </w:pPr>
      <w:r>
        <w:t>6. El usuario puede consultar qué operaciones están pendientes, confirmadas o rechazadas.</w:t>
      </w:r>
    </w:p>
    <w:p>
      <w:pPr>
        <w:pStyle w:val="Heading1"/>
        <w:pageBreakBefore/>
      </w:pPr>
      <w:r>
        <w:t>6. Aplicación de escritorio</w:t>
      </w:r>
    </w:p>
    <w:p>
      <w:pPr>
        <w:pStyle w:val="Heading2"/>
      </w:pPr>
      <w:r>
        <w:t>Épica DESK-01 — Operación interna del banco</w:t>
      </w:r>
    </w:p>
    <w:p>
      <w:pPr>
        <w:pStyle w:val="Heading2"/>
      </w:pPr>
      <w:r>
        <w:t>HU-DESK-001 — Acceder a las funciones internas autorizadas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sangre; 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RF-DESK-001, RF-SEC-001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de banco de sangre o Coordinador regional, quiero iniciar y cerrar sesión en la aplicación de escritorio, para utilizar solo las operaciones internas permitidas para mi perfil.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aplicación autentica mediante los servicios y presenta un menú distinto para Operador y Coordinador.</w:t>
      </w:r>
    </w:p>
    <w:p>
      <w:pPr>
        <w:spacing w:after="60"/>
        <w:ind w:left="360" w:hanging="259"/>
      </w:pPr>
      <w:r>
        <w:t>2. La sesión expirada, revocada o sin permisos impide continuar y preserva de forma segura un formulario no enviado cuando corresponda.</w:t>
      </w:r>
    </w:p>
    <w:p>
      <w:pPr>
        <w:spacing w:after="60"/>
        <w:ind w:left="360" w:hanging="259"/>
      </w:pPr>
      <w:r>
        <w:t>3. El usuario no puede abrir una operación fuera de su perfil o ámbito aunque conozca el identificador del recurso.</w:t>
      </w:r>
    </w:p>
    <w:p>
      <w:pPr>
        <w:spacing w:after="60"/>
        <w:ind w:left="360" w:hanging="259"/>
      </w:pPr>
      <w:r>
        <w:t>4. Cerrar sesión invalida las credenciales aplicables y limpia los datos locales sensibles definidos.</w:t>
      </w:r>
    </w:p>
    <w:p>
      <w:pPr>
        <w:spacing w:after="60"/>
        <w:ind w:left="360" w:hanging="259"/>
      </w:pPr>
      <w:r>
        <w:t>5. Los eventos de acceso quedan auditados sin registrar secretos ni tokens completos.</w:t>
      </w:r>
    </w:p>
    <w:p>
      <w:pPr>
        <w:pStyle w:val="Heading2"/>
      </w:pPr>
      <w:r>
        <w:t>HU-DESK-002 — Registrar unidades, pruebas e inventario local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RF-DESK-002, RF-DESK-003, RF-MS-002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de banco de sangre, quiero registrar el detalle de una unidad, capturar sus pruebas autorizadas y gestionar su inventario, para completar el flujo operativo interno con trazabilidad.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unidad conserva un identificador único y los datos de origen, componente, ubicación y estado definidos.</w:t>
      </w:r>
    </w:p>
    <w:p>
      <w:pPr>
        <w:spacing w:after="60"/>
        <w:ind w:left="360" w:hanging="259"/>
      </w:pPr>
      <w:r>
        <w:t>2. Cada prueba registra tipo, resultado, responsable, fecha, estado y revisión autorizada cuando corresponda.</w:t>
      </w:r>
    </w:p>
    <w:p>
      <w:pPr>
        <w:spacing w:after="60"/>
        <w:ind w:left="360" w:hanging="259"/>
      </w:pPr>
      <w:r>
        <w:t>3. La unidad no avanza a un estado que requiera pruebas aprobadas mientras falten resultados o exista una inconsistencia conforme a las reglas validadas.</w:t>
      </w:r>
    </w:p>
    <w:p>
      <w:pPr>
        <w:spacing w:after="60"/>
        <w:ind w:left="360" w:hanging="259"/>
      </w:pPr>
      <w:r>
        <w:t>4. El usuario puede buscar, filtrar y consultar unidades, movimientos, estados y alertas de su institución.</w:t>
      </w:r>
    </w:p>
    <w:p>
      <w:pPr>
        <w:spacing w:after="60"/>
        <w:ind w:left="360" w:hanging="259"/>
      </w:pPr>
      <w:r>
        <w:t>5. Las transiciones inválidas se rechazan sin perder la captura y los cambios aceptados quedan auditados.</w:t>
      </w:r>
    </w:p>
    <w:p>
      <w:pPr>
        <w:spacing w:after="60"/>
        <w:ind w:left="360" w:hanging="259"/>
      </w:pPr>
      <w:r>
        <w:t>6. Toda consulta o modificación se realiza mediante microservicios y nunca con acceso directo a las bases de datos.</w:t>
      </w:r>
    </w:p>
    <w:p>
      <w:pPr>
        <w:pStyle w:val="Heading2"/>
      </w:pPr>
      <w:r>
        <w:t>HU-DESK-003 — Revisar compatibilidad, priorización y decisión humana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Coordinador regional; Personal médico autorizado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RF-DESK-004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Coordinador regional o personal autorizado, quiero revisar desde el escritorio la compatibilidad, el ranking y su explicación, para registrar una decisión humana sin alterar el cálculo original.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vista muestra factores, ponderaciones, versión, datos faltantes, advertencias y explicación de cada resultado autorizado.</w:t>
      </w:r>
    </w:p>
    <w:p>
      <w:pPr>
        <w:spacing w:after="60"/>
        <w:ind w:left="360" w:hanging="259"/>
      </w:pPr>
      <w:r>
        <w:t>2. El usuario puede comparar candidatos sin recibir una indicación presentada como decisión médica definitiva.</w:t>
      </w:r>
    </w:p>
    <w:p>
      <w:pPr>
        <w:spacing w:after="60"/>
        <w:ind w:left="360" w:hanging="259"/>
      </w:pPr>
      <w:r>
        <w:t>3. Las ponderaciones o resultados calculados no pueden editarse desde la aplicación.</w:t>
      </w:r>
    </w:p>
    <w:p>
      <w:pPr>
        <w:spacing w:after="60"/>
        <w:ind w:left="360" w:hanging="259"/>
      </w:pPr>
      <w:r>
        <w:t>4. El usuario autorizado puede registrar aceptación, rechazo, reevaluación o excepción con motivo y evidencia cuando corresponda.</w:t>
      </w:r>
    </w:p>
    <w:p>
      <w:pPr>
        <w:spacing w:after="60"/>
        <w:ind w:left="360" w:hanging="259"/>
      </w:pPr>
      <w:r>
        <w:t>5. La decisión queda vinculada con la versión exacta del cálculo revisado y se audita.</w:t>
      </w:r>
    </w:p>
    <w:p>
      <w:pPr>
        <w:spacing w:after="60"/>
        <w:ind w:left="360" w:hanging="259"/>
      </w:pPr>
      <w:r>
        <w:t>6. Un cambio posterior de reglas genera una evaluación nueva y no reescribe la anterior.</w:t>
      </w:r>
    </w:p>
    <w:p>
      <w:pPr>
        <w:pStyle w:val="Heading2"/>
      </w:pPr>
      <w:r>
        <w:t>HU-DESK-004 — Imprimir una etiqueta trazable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RF-DESK-005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de banco de sangre, quiero previsualizar e imprimir una etiqueta autorizada, para identificar físicamente una unidad sin perder su relación con el registro digital.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etiqueta utiliza una plantilla, codificación y campos previamente aprobados para el tipo de recurso.</w:t>
      </w:r>
    </w:p>
    <w:p>
      <w:pPr>
        <w:spacing w:after="60"/>
        <w:ind w:left="360" w:hanging="259"/>
      </w:pPr>
      <w:r>
        <w:t>2. El código impreso corresponde al identificador de trazabilidad de la unidad seleccionada.</w:t>
      </w:r>
    </w:p>
    <w:p>
      <w:pPr>
        <w:spacing w:after="60"/>
        <w:ind w:left="360" w:hanging="259"/>
      </w:pPr>
      <w:r>
        <w:t>3. Antes de imprimir se muestra una previsualización y se valida que la unidad y la plantilla estén vigentes.</w:t>
      </w:r>
    </w:p>
    <w:p>
      <w:pPr>
        <w:spacing w:after="60"/>
        <w:ind w:left="360" w:hanging="259"/>
      </w:pPr>
      <w:r>
        <w:t>4. La impresión conserva fecha, usuario, impresora o destino cuando esté disponible y resultado.</w:t>
      </w:r>
    </w:p>
    <w:p>
      <w:pPr>
        <w:spacing w:after="60"/>
        <w:ind w:left="360" w:hanging="259"/>
      </w:pPr>
      <w:r>
        <w:t>5. Una reimpresión requiere el motivo definido y queda auditada.</w:t>
      </w:r>
    </w:p>
    <w:p>
      <w:pPr>
        <w:pStyle w:val="Heading2"/>
      </w:pPr>
      <w:r>
        <w:t>HU-DESK-005 — Documentar eventos de cadena de custodia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sangre; 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RF-DESK-006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o Coordinador autorizado, quiero registrar y consultar eventos de cadena de custodia desde el escritorio, para completar la trazabilidad operativa que no se capture en el móvil.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usuario selecciona una orden y solo puede registrar el siguiente evento permitido para su perfil.</w:t>
      </w:r>
    </w:p>
    <w:p>
      <w:pPr>
        <w:spacing w:after="60"/>
        <w:ind w:left="360" w:hanging="259"/>
      </w:pPr>
      <w:r>
        <w:t>2. El evento conserva responsable, fecha, condición, ubicación autorizada, incidencia y evidencia relacionada cuando corresponda.</w:t>
      </w:r>
    </w:p>
    <w:p>
      <w:pPr>
        <w:spacing w:after="60"/>
        <w:ind w:left="360" w:hanging="259"/>
      </w:pPr>
      <w:r>
        <w:t>3. La secuencia y el recurso se validan antes de confirmar.</w:t>
      </w:r>
    </w:p>
    <w:p>
      <w:pPr>
        <w:spacing w:after="60"/>
        <w:ind w:left="360" w:hanging="259"/>
      </w:pPr>
      <w:r>
        <w:t>4. Los eventos confirmados no se editan ni eliminan; una corrección se registra como un evento relacionado.</w:t>
      </w:r>
    </w:p>
    <w:p>
      <w:pPr>
        <w:spacing w:after="60"/>
        <w:ind w:left="360" w:hanging="259"/>
      </w:pPr>
      <w:r>
        <w:t>5. El historial combina coherentemente los eventos originados en móvil, escritorio y servicios sin duplicarlos.</w:t>
      </w:r>
    </w:p>
    <w:p>
      <w:pPr>
        <w:spacing w:after="60"/>
        <w:ind w:left="360" w:hanging="259"/>
      </w:pPr>
      <w:r>
        <w:t>6. Toda captura y consulta sensible queda auditada.</w:t>
      </w:r>
    </w:p>
    <w:p>
      <w:pPr>
        <w:pStyle w:val="Heading2"/>
      </w:pPr>
      <w:r>
        <w:t>HU-DESK-006 — Consultar y exportar reportes internos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Clínica/normativa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Operador de banco de sangre; Coordinador regional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RF-DESK-007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Operador o Coordinador autorizado, quiero consultar tablas y exportar reportes operativos o regulatorios definidos, para respaldar el seguimiento interno de la institución.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Las tablas permiten búsqueda, filtros, orden y paginación sobre el ámbito autorizado.</w:t>
      </w:r>
    </w:p>
    <w:p>
      <w:pPr>
        <w:spacing w:after="60"/>
        <w:ind w:left="360" w:hanging="259"/>
      </w:pPr>
      <w:r>
        <w:t>2. El usuario solo puede seleccionar formatos y campos permitidos para su perfil.</w:t>
      </w:r>
    </w:p>
    <w:p>
      <w:pPr>
        <w:spacing w:after="60"/>
        <w:ind w:left="360" w:hanging="259"/>
      </w:pPr>
      <w:r>
        <w:t>3. El reporte conserva periodo, filtros, fecha, fuente y responsable de generación.</w:t>
      </w:r>
    </w:p>
    <w:p>
      <w:pPr>
        <w:spacing w:after="60"/>
        <w:ind w:left="360" w:hanging="259"/>
      </w:pPr>
      <w:r>
        <w:t>4. Un formato académico o pendiente de validación se identifica y no se presenta como reporte regulatorio oficial.</w:t>
      </w:r>
    </w:p>
    <w:p>
      <w:pPr>
        <w:spacing w:after="60"/>
        <w:ind w:left="360" w:hanging="259"/>
      </w:pPr>
      <w:r>
        <w:t>5. La exportación protege los datos sensibles y queda auditada.</w:t>
      </w:r>
    </w:p>
    <w:p>
      <w:pPr>
        <w:pStyle w:val="Heading1"/>
        <w:pageBreakBefore/>
      </w:pPr>
      <w:r>
        <w:t>7. Monitoreo y observabilidad</w:t>
      </w:r>
    </w:p>
    <w:p>
      <w:pPr>
        <w:pStyle w:val="Heading2"/>
      </w:pPr>
      <w:r>
        <w:t>Épica MON-01 — Estado operativo de la plataforma</w:t>
      </w:r>
    </w:p>
    <w:p>
      <w:pPr>
        <w:pStyle w:val="Heading2"/>
      </w:pPr>
      <w:r>
        <w:t>HU-MON-001 — Consultar el estado de servicios y dependencias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Administrador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RF-MON-001, RF-MON-002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Administrador, quiero consultar el estado de los servicios y sus dependencias, para distinguir una operación saludable de una degradación o caída.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servicio de monitoreo consulta periódicamente los endpoints de salud definidos para proceso, PostgreSQL, MongoDB, Redis y Storage cuando apliquen.</w:t>
      </w:r>
    </w:p>
    <w:p>
      <w:pPr>
        <w:spacing w:after="60"/>
        <w:ind w:left="360" w:hanging="259"/>
      </w:pPr>
      <w:r>
        <w:t>2. El panel distingue disponible, degradado y caído, e identifica proceso detenido, dependencia inaccesible, respuesta inválida o timeout.</w:t>
      </w:r>
    </w:p>
    <w:p>
      <w:pPr>
        <w:spacing w:after="60"/>
        <w:ind w:left="360" w:hanging="259"/>
      </w:pPr>
      <w:r>
        <w:t>3. Para cada servicio se muestra versión, última verificación, tiempo de respuesta, número de errores y última causa conocida autorizada.</w:t>
      </w:r>
    </w:p>
    <w:p>
      <w:pPr>
        <w:spacing w:after="60"/>
        <w:ind w:left="360" w:hanging="259"/>
      </w:pPr>
      <w:r>
        <w:t>4. Una dependencia no aplicable se indica como tal y no se reporta falsamente como saludable.</w:t>
      </w:r>
    </w:p>
    <w:p>
      <w:pPr>
        <w:spacing w:after="60"/>
        <w:ind w:left="360" w:hanging="259"/>
      </w:pPr>
      <w:r>
        <w:t>5. El acceso al detalle operativo se limita a perfiles autorizados y no expone secretos ni datos clínicos.</w:t>
      </w:r>
    </w:p>
    <w:p>
      <w:pPr>
        <w:pStyle w:val="Heading2"/>
      </w:pPr>
      <w:r>
        <w:t>HU-MON-002 — Consultar historial y recibir avisos operativos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Usuario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Administrador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RF-MON-003, RF-MON-004</w:t>
            </w:r>
          </w:p>
        </w:tc>
      </w:tr>
    </w:tbl>
    <w:p>
      <w:pPr>
        <w:spacing w:after="0"/>
      </w:pPr>
    </w:p>
    <w:p>
      <w:r>
        <w:rPr>
          <w:b/>
        </w:rPr>
        <w:t>Historia:</w:t>
      </w:r>
      <w:r>
        <w:t xml:space="preserve"> Como Administrador, quiero consultar el historial de disponibilidad y recibir avisos de cambio de estado, para atender y comprobar incidentes de la plataforma.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Cada cambio de estado conserva servicio, estado anterior y nuevo, fecha, duración y causa conocida.</w:t>
      </w:r>
    </w:p>
    <w:p>
      <w:pPr>
        <w:spacing w:after="60"/>
        <w:ind w:left="360" w:hanging="259"/>
      </w:pPr>
      <w:r>
        <w:t>2. El historial puede consultarse por servicio y periodo sin depender únicamente del estado actual.</w:t>
      </w:r>
    </w:p>
    <w:p>
      <w:pPr>
        <w:spacing w:after="60"/>
        <w:ind w:left="360" w:hanging="259"/>
      </w:pPr>
      <w:r>
        <w:t>3. Una caída, degradación o recuperación genera un aviso dirigido a los responsables configurados.</w:t>
      </w:r>
    </w:p>
    <w:p>
      <w:pPr>
        <w:spacing w:after="60"/>
        <w:ind w:left="360" w:hanging="259"/>
      </w:pPr>
      <w:r>
        <w:t>4. Los eventos repetidos se agrupan o deduplican según la política definida sin perder la duración del incidente.</w:t>
      </w:r>
    </w:p>
    <w:p>
      <w:pPr>
        <w:spacing w:after="60"/>
        <w:ind w:left="360" w:hanging="259"/>
      </w:pPr>
      <w:r>
        <w:t>5. La recuperación cierra o actualiza el incidente correspondiente y no borra sus eventos anteriores.</w:t>
      </w:r>
    </w:p>
    <w:p>
      <w:pPr>
        <w:pStyle w:val="Heading1"/>
      </w:pPr>
      <w:r>
        <w:t>8. Historias habilitadoras técnicas</w:t>
      </w:r>
    </w:p>
    <w:p>
      <w:r>
        <w:t>Estas historias no agregan perfiles al sistema. Representan condiciones técnicas necesarias para que las historias de usuario sean ejecutables, seguras y verificables. Su aceptación deberá demostrarse con configuración, código, pruebas o evidencia de operación, según corresponda.</w:t>
      </w:r>
    </w:p>
    <w:p>
      <w:pPr>
        <w:pStyle w:val="Heading2"/>
      </w:pPr>
      <w:r>
        <w:t>HE-WEB-001 — Disponer de una base web usable y persistente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Sistema web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Transversal: base en el 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de desarrollo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RNF-WEB-001, RNF-WEB-002, RNF-WEB-003, RNF-WEB-004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de desarrollo, necesitamos una base web usable, desacoplada y con persistencia real, para implementar y demostrar los procesos del negocio de forma consistente.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sistema web utiliza Python, Flask, Jinja2, HTML5, CSS3 y JavaScript; sus gráficas utilizan Highcharts.</w:t>
      </w:r>
    </w:p>
    <w:p>
      <w:pPr>
        <w:spacing w:after="60"/>
        <w:ind w:left="360" w:hanging="259"/>
      </w:pPr>
      <w:r>
        <w:t>2. Las funciones propias de la web continúan disponibles cuando la aplicación móvil o de escritorio no lo están.</w:t>
      </w:r>
    </w:p>
    <w:p>
      <w:pPr>
        <w:spacing w:after="60"/>
        <w:ind w:left="360" w:hanging="259"/>
      </w:pPr>
      <w:r>
        <w:t>3. Las vistas definidas son responsive, navegables con teclado y ofrecen etiquetas, contraste y mensajes comprensibles.</w:t>
      </w:r>
    </w:p>
    <w:p>
      <w:pPr>
        <w:spacing w:after="60"/>
        <w:ind w:left="360" w:hanging="259"/>
      </w:pPr>
      <w:r>
        <w:t>4. Las listas pertinentes incluyen búsqueda, filtros y paginación acordes con el volumen de prueba.</w:t>
      </w:r>
    </w:p>
    <w:p>
      <w:pPr>
        <w:spacing w:after="60"/>
        <w:ind w:left="360" w:hanging="259"/>
      </w:pPr>
      <w:r>
        <w:t>5. Las operaciones demostradas guardan y consultan información real; una maqueta o respuesta fija no se considera aceptada.</w:t>
      </w:r>
    </w:p>
    <w:p>
      <w:pPr>
        <w:spacing w:after="60"/>
        <w:ind w:left="360" w:hanging="259"/>
      </w:pPr>
      <w:r>
        <w:t>6. Los errores se presentan de forma uniforme y segura, sin revelar trazas internas, secretos o datos sensibles.</w:t>
      </w:r>
    </w:p>
    <w:p>
      <w:pPr>
        <w:pStyle w:val="Heading2"/>
      </w:pPr>
      <w:r>
        <w:t>HE-MS-001 — Proveer microservicios independientes, contratados y resilientes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Microservicios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de integración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RNF-MS-001, RNF-MS-002, RNF-MS-003, RNF-MS-004, RNF-MS-005, RNF-MS-006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de integración, necesitamos microservicios independientes con contratos verificables y comportamiento resiliente, para que web, móvil y escritorio compartan capacidades sin acoplarse entre sí.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Cada servicio se implementa con Flask y REST versionado, atiende una responsabilidad justificada y puede ejecutarse y desplegarse en su propio contenedor.</w:t>
      </w:r>
    </w:p>
    <w:p>
      <w:pPr>
        <w:spacing w:after="60"/>
        <w:ind w:left="360" w:hanging="259"/>
      </w:pPr>
      <w:r>
        <w:t>2. Cada microservicio produce respuestas tanto en JSON como en XML según el consumidor; los contratos OpenAPI o Swagger documentan autenticación, encabezados, parámetros, paginación, contratos y ejemplos de ambos formatos, respuestas y códigos HTTP, y las respuestas XML utilizan XSD donde corresponde.</w:t>
      </w:r>
    </w:p>
    <w:p>
      <w:pPr>
        <w:spacing w:after="60"/>
        <w:ind w:left="360" w:hanging="259"/>
      </w:pPr>
      <w:r>
        <w:t>3. Toda petición protegida valida JWT, sesión, revocación y permisos mediante los mecanismos definidos, incluida Redis.</w:t>
      </w:r>
    </w:p>
    <w:p>
      <w:pPr>
        <w:spacing w:after="60"/>
        <w:ind w:left="360" w:hanging="259"/>
      </w:pPr>
      <w:r>
        <w:t>4. Las entradas se validan y los errores usan un formato uniforme; se aplican límites de consumo configurables.</w:t>
      </w:r>
    </w:p>
    <w:p>
      <w:pPr>
        <w:spacing w:after="60"/>
        <w:ind w:left="360" w:hanging="259"/>
      </w:pPr>
      <w:r>
        <w:t>5. Cada petición registra servicio, versión, tiempo, resultado e identificador de correlación sin incluir datos sensibles innecesarios.</w:t>
      </w:r>
    </w:p>
    <w:p>
      <w:pPr>
        <w:spacing w:after="60"/>
        <w:ind w:left="360" w:hanging="259"/>
      </w:pPr>
      <w:r>
        <w:t>6. Los timeouts, reintentos seguros, idempotencia y dependencias inaccesibles se manejan sin corrupción ni fallos en cascada.</w:t>
      </w:r>
    </w:p>
    <w:p>
      <w:pPr>
        <w:spacing w:after="60"/>
        <w:ind w:left="360" w:hanging="259"/>
      </w:pPr>
      <w:r>
        <w:t>7. Locust ejecuta varios perfiles y flujos, y reporta concurrencia, peticiones por segundo, media, p95, p99, errores, saturación, recuperación y endpoints lentos.</w:t>
      </w:r>
    </w:p>
    <w:p>
      <w:pPr>
        <w:spacing w:after="60"/>
        <w:ind w:left="360" w:hanging="259"/>
      </w:pPr>
      <w:r>
        <w:t>8. Los algoritmos críticos documentan entradas, salidas, versión, casos de prueba, limitaciones y tiempo de ejecución.</w:t>
      </w:r>
    </w:p>
    <w:p>
      <w:pPr>
        <w:pStyle w:val="Heading2"/>
      </w:pPr>
      <w:r>
        <w:t>HE-MOV-001 — Integrar una aplicación Android segura mediante JSON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Aplicación móvil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móvil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RNF-MOV-001, RNF-MOV-002, RNF-MOV-003, RNF-MOV-004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móvil, necesitamos una aplicación Android segura y tolerante a fallas de red, para entregar los flujos de Donante y Personal de traslado mediante contratos JSON.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aplicación se desarrolla en Java o Kotlin después de registrar la decisión tecnológica y consume exclusivamente JSON de al menos cuatro microservicios.</w:t>
      </w:r>
    </w:p>
    <w:p>
      <w:pPr>
        <w:spacing w:after="60"/>
        <w:ind w:left="360" w:hanging="259"/>
      </w:pPr>
      <w:r>
        <w:t>2. Integra al menos dos capacidades pertinentes del dispositivo; para los flujos definidos se contemplan escaneo, cámara, ubicación, notificaciones o almacenamiento temporal.</w:t>
      </w:r>
    </w:p>
    <w:p>
      <w:pPr>
        <w:spacing w:after="60"/>
        <w:ind w:left="360" w:hanging="259"/>
      </w:pPr>
      <w:r>
        <w:t>3. El dispositivo, los tokens y los datos temporales se registran y almacenan de forma segura y se eliminan conforme al cierre de sesión y la retención definida.</w:t>
      </w:r>
    </w:p>
    <w:p>
      <w:pPr>
        <w:spacing w:after="60"/>
        <w:ind w:left="360" w:hanging="259"/>
      </w:pPr>
      <w:r>
        <w:t>4. Los formularios y respuestas JSON se validan; los errores de red no provocan pérdida silenciosa ni mezcla de sesiones.</w:t>
      </w:r>
    </w:p>
    <w:p>
      <w:pPr>
        <w:spacing w:after="60"/>
        <w:ind w:left="360" w:hanging="259"/>
      </w:pPr>
      <w:r>
        <w:t>5. La interfaz informa conectividad y sincronización y restringe menús y operaciones por perfil.</w:t>
      </w:r>
    </w:p>
    <w:p>
      <w:pPr>
        <w:spacing w:after="60"/>
        <w:ind w:left="360" w:hanging="259"/>
      </w:pPr>
      <w:r>
        <w:t>6. Los flujos principales de Donante y Personal de traslado se verifican mediante tareas de usabilidad y pruebas con servicios reales o entornos controlados.</w:t>
      </w:r>
    </w:p>
    <w:p>
      <w:pPr>
        <w:pStyle w:val="Heading2"/>
      </w:pPr>
      <w:r>
        <w:t>HE-DESK-001 — Integrar la aplicación de escritorio mediante XML validado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Aplicación de escritorio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de escritorio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RNF-DESK-001, RNF-DESK-002, RNF-DESK-003, RNF-DESK-004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de escritorio, necesitamos un cliente interno desacoplado y seguro que consuma XML validado, para ejecutar procesos distintos de la web y de la aplicación móvil.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La tecnología se selecciona entre las opciones autorizadas y la decisión queda registrada antes de implementar.</w:t>
      </w:r>
    </w:p>
    <w:p>
      <w:pPr>
        <w:spacing w:after="60"/>
        <w:ind w:left="360" w:hanging="259"/>
      </w:pPr>
      <w:r>
        <w:t>2. La aplicación consume exclusivamente XML de al menos cuatro microservicios y valida los mensajes con XSD.</w:t>
      </w:r>
    </w:p>
    <w:p>
      <w:pPr>
        <w:spacing w:after="60"/>
        <w:ind w:left="360" w:hanging="259"/>
      </w:pPr>
      <w:r>
        <w:t>3. El procesamiento XML deshabilita entidades externas y aplica protección contra XXE.</w:t>
      </w:r>
    </w:p>
    <w:p>
      <w:pPr>
        <w:spacing w:after="60"/>
        <w:ind w:left="360" w:hanging="259"/>
      </w:pPr>
      <w:r>
        <w:t>4. La sesión y los permisos se validan mediante los servicios; el cliente no usa las vistas, sesiones internas ni almacenes del sistema web.</w:t>
      </w:r>
    </w:p>
    <w:p>
      <w:pPr>
        <w:spacing w:after="60"/>
        <w:ind w:left="360" w:hanging="259"/>
      </w:pPr>
      <w:r>
        <w:t>5. Un error de autenticación, contrato o red conserva de forma segura la captura no enviada cuando corresponda y muestra una acción de recuperación.</w:t>
      </w:r>
    </w:p>
    <w:p>
      <w:pPr>
        <w:spacing w:after="60"/>
        <w:ind w:left="360" w:hanging="259"/>
      </w:pPr>
      <w:r>
        <w:t>6. Las tareas repetitivas de captura, búsqueda, filtrado, exportación e impresión se evalúan con los perfiles internos previstos.</w:t>
      </w:r>
    </w:p>
    <w:p>
      <w:pPr>
        <w:pStyle w:val="Heading2"/>
      </w:pPr>
      <w:r>
        <w:t>HE-DAT-001 — Distribuir y proteger los datos según su ciclo de vida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Bases de datos y almacenamiento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Transversal: PostgreSQL en el primer parcial; MongoDB y Redis desde el segundo; demás almacenes posteriormente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de datos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RF-DAT-001, RF-DAT-002, RF-DAT-003, RF-DAT-004, RF-DAT-005, RNF-DAT-001, RNF-DAT-002, RNF-DAT-003, RNF-DAT-004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de datos, necesitamos asignar cada dato a un almacén y propietario autoritativo acorde con su estructura y duración, para conservar consistencia, seguridad y trazabilidad.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PostgreSQL persiste en el primer parcial instituciones, usuarios, permisos, catálogos, inventario, estados y auditoría básica con datos ficticios iniciales.</w:t>
      </w:r>
    </w:p>
    <w:p>
      <w:pPr>
        <w:spacing w:after="60"/>
        <w:ind w:left="360" w:hanging="259"/>
      </w:pPr>
      <w:r>
        <w:t>2. A partir del segundo parcial, MongoDB se utiliza solo para documentos flexibles, telemetría, historiales extensos o resultados semiestructurados cuya justificación esté documentada.</w:t>
      </w:r>
    </w:p>
    <w:p>
      <w:pPr>
        <w:spacing w:after="60"/>
        <w:ind w:left="360" w:hanging="259"/>
      </w:pPr>
      <w:r>
        <w:t>3. A partir del segundo parcial, Redis administra sesiones, revocaciones, permisos temporales, rate limiting, caché autorizada, bloqueos, contadores y datos temporales con expiración definida.</w:t>
      </w:r>
    </w:p>
    <w:p>
      <w:pPr>
        <w:spacing w:after="60"/>
        <w:ind w:left="360" w:hanging="259"/>
      </w:pPr>
      <w:r>
        <w:t>4. Google Cloud Storage conserva archivos privados y las bases guardan únicamente referencias y metadatos; el acceso utiliza URLs firmadas de vigencia limitada.</w:t>
      </w:r>
    </w:p>
    <w:p>
      <w:pPr>
        <w:spacing w:after="60"/>
        <w:ind w:left="360" w:hanging="259"/>
      </w:pPr>
      <w:r>
        <w:t>5. Cada dato tiene un propietario autoritativo y ninguna aplicación cliente se conecta directamente con PostgreSQL, MongoDB, Redis o Storage.</w:t>
      </w:r>
    </w:p>
    <w:p>
      <w:pPr>
        <w:spacing w:after="60"/>
        <w:ind w:left="360" w:hanging="259"/>
      </w:pPr>
      <w:r>
        <w:t>6. Las reservas y asignaciones utilizan transacciones, restricciones o bloqueos que impiden estados contradictorios y doble asignación.</w:t>
      </w:r>
    </w:p>
    <w:p>
      <w:pPr>
        <w:spacing w:after="60"/>
        <w:ind w:left="360" w:hanging="259"/>
      </w:pPr>
      <w:r>
        <w:t>7. Auditoría y custodia conservan los datos mínimos necesarios para reconstruir el evento sin guardar secretos ni duplicar información sensible sin justificación.</w:t>
      </w:r>
    </w:p>
    <w:p>
      <w:pPr>
        <w:spacing w:after="60"/>
        <w:ind w:left="360" w:hanging="259"/>
      </w:pPr>
      <w:r>
        <w:t>8. Cada almacén documenta claves, restricciones, índices, crecimiento, retención, eliminación lógica, segregación, respaldo y restauración.</w:t>
      </w:r>
    </w:p>
    <w:p>
      <w:pPr>
        <w:spacing w:after="60"/>
        <w:ind w:left="360" w:hanging="259"/>
      </w:pPr>
      <w:r>
        <w:t>9. Las pruebas miden inserción, consulta, índices, caché, consumo de recursos, volumen y comportamiento con y sin Redis conforme a objetivos documentados.</w:t>
      </w:r>
    </w:p>
    <w:p>
      <w:pPr>
        <w:pStyle w:val="Heading2"/>
      </w:pPr>
      <w:r>
        <w:t>HE-INF-001 — Disponer de entornos reproducibles y despliegue controlado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Infraestructura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Transversal: base local sin contenedores en el primer parcial, Docker desde el segundo y nube posteriormente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de desarrollo y operación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RNF-INF-001, RNF-INF-002, RNF-INF-003, RNF-INF-004, RNF-INF-005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de desarrollo y operación, necesitamos entornos reproducibles y despliegues independientes, para construir y ejecutar la plataforma sin depender de configuraciones personales no documentadas.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El repositorio documenta estrategia de ramas, incidencias, tablero, estándares de codificación y convenciones de nombres con un alcance académico viable.</w:t>
      </w:r>
    </w:p>
    <w:p>
      <w:pPr>
        <w:spacing w:after="60"/>
        <w:ind w:left="360" w:hanging="259"/>
      </w:pPr>
      <w:r>
        <w:t>2. Cada componente declara dependencias y variables de entorno; no se versionan secretos ni valores reales de archivos de entorno.</w:t>
      </w:r>
    </w:p>
    <w:p>
      <w:pPr>
        <w:spacing w:after="60"/>
        <w:ind w:left="360" w:hanging="259"/>
      </w:pPr>
      <w:r>
        <w:t>3. A partir del segundo parcial, los componentes desplegables cuentan con Dockerfile y Docker Compose levanta el entorno local requerido con PostgreSQL, MongoDB y Redis.</w:t>
      </w:r>
    </w:p>
    <w:p>
      <w:pPr>
        <w:spacing w:after="60"/>
        <w:ind w:left="360" w:hanging="259"/>
      </w:pPr>
      <w:r>
        <w:t>4. El despliegue posterior en Google Compute Engine documenta web, servicios, datos, archivos y monitoreo con redes privadas, firewall, puertos mínimos y comunicaciones cifradas.</w:t>
      </w:r>
    </w:p>
    <w:p>
      <w:pPr>
        <w:spacing w:after="60"/>
        <w:ind w:left="360" w:hanging="259"/>
      </w:pPr>
      <w:r>
        <w:t>5. La integración continua ejecuta las validaciones acordadas y permite desplegar un componente sin obligar a publicar toda la plataforma.</w:t>
      </w:r>
    </w:p>
    <w:p>
      <w:pPr>
        <w:spacing w:after="60"/>
        <w:ind w:left="360" w:hanging="259"/>
      </w:pPr>
      <w:r>
        <w:t>6. Un servicio opcional de Google Cloud se incorpora únicamente cuando existe una necesidad y justificación registradas.</w:t>
      </w:r>
    </w:p>
    <w:p>
      <w:pPr>
        <w:pStyle w:val="Heading2"/>
      </w:pPr>
      <w:r>
        <w:t>HE-INF-002 — Verificar integración completa y recuperación ante fallos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Infraestructura e integración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Posterior y transversal a cada incremento integrado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de calidad e integración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RNF-INF-006, RNF-INF-007, RNF-INF-008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de calidad e integración, necesitamos comprobar flujos completos y fallas parciales, para demostrar que los componentes cooperan sin corromper datos.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Se demuestran al menos tres procesos de principio a fin con usuario, cliente, microservicios, JWT, Redis, PostgreSQL o MongoDB, auditoría, notificación y objeto en bucket cuando el flujo maneja archivos.</w:t>
      </w:r>
    </w:p>
    <w:p>
      <w:pPr>
        <w:spacing w:after="60"/>
        <w:ind w:left="360" w:hanging="259"/>
      </w:pPr>
      <w:r>
        <w:t>2. Al menos un proceso puede consultarse coherentemente desde los clientes autorizados, respetando JSON para móvil y XML para escritorio.</w:t>
      </w:r>
    </w:p>
    <w:p>
      <w:pPr>
        <w:spacing w:after="60"/>
        <w:ind w:left="360" w:hanging="259"/>
      </w:pPr>
      <w:r>
        <w:t>3. Las pruebas de falla cubren PostgreSQL, MongoDB, Redis, Storage y microservicios, además de timeouts, respuestas inválidas, recursos inexistentes y recuperación.</w:t>
      </w:r>
    </w:p>
    <w:p>
      <w:pPr>
        <w:spacing w:after="60"/>
        <w:ind w:left="360" w:hanging="259"/>
      </w:pPr>
      <w:r>
        <w:t>4. Una falla se detecta y registra, produce un mensaje apropiado y no confirma una operación si no puede garantizarse su consistencia.</w:t>
      </w:r>
    </w:p>
    <w:p>
      <w:pPr>
        <w:spacing w:after="60"/>
        <w:ind w:left="360" w:hanging="259"/>
      </w:pPr>
      <w:r>
        <w:t>5. Al restablecerse la dependencia, el flujo se recupera o presenta una acción explícita sin duplicar la operación.</w:t>
      </w:r>
    </w:p>
    <w:p>
      <w:pPr>
        <w:spacing w:after="60"/>
        <w:ind w:left="360" w:hanging="259"/>
      </w:pPr>
      <w:r>
        <w:t>6. Cada incremento aporta pruebas proporcionales al riesgo: unitarias, integración, sistema, regresión, extremo a extremo, contratos, seguridad, concurrencia, archivos, datos masivos y usabilidad según apliquen.</w:t>
      </w:r>
    </w:p>
    <w:p>
      <w:pPr>
        <w:spacing w:after="60"/>
        <w:ind w:left="360" w:hanging="259"/>
      </w:pPr>
      <w:r>
        <w:t>7. La evidencia de prueba registra escenario, versión, datos, resultado esperado, resultado obtenido y defectos encontrados.</w:t>
      </w:r>
    </w:p>
    <w:p>
      <w:pPr>
        <w:pStyle w:val="Heading2"/>
      </w:pPr>
      <w:r>
        <w:t>HE-SEC-001 — Aplicar seguridad y privacidad de extremo a extremo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Seguridad y privacidad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Transversal: controles básicos desde el primer parcial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 y clínica/normativa según el control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de seguridad y privacidad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RF-SEC-001, RF-SEC-002, RF-SEC-003, RNF-SEC-001, RNF-SEC-002, RNF-SEC-003, RNF-SEC-004, RNF-SEC-005, RNF-SEC-006, RNF-SEC-007, RNF-SEC-008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responsable de seguridad y privacidad, necesitamos controles consistentes en todos los componentes, para proteger identidad, datos clínicos, ubicación, evidencias y operaciones críticas.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En el primer parcial, las contraseñas utilizan un hash seguro y los JWT de acceso tienen expiración definida; a partir del segundo parcial, la renovación aplica rotación o un control equivalente y la revocación se valida mediante Redis.</w:t>
      </w:r>
    </w:p>
    <w:p>
      <w:pPr>
        <w:spacing w:after="60"/>
        <w:ind w:left="360" w:hanging="259"/>
      </w:pPr>
      <w:r>
        <w:t>2. Toda petición protegida comprueba identidad, sesión, revocación, perfil, acción, recurso y ámbito institucional con mínimo privilegio.</w:t>
      </w:r>
    </w:p>
    <w:p>
      <w:pPr>
        <w:spacing w:after="60"/>
        <w:ind w:left="360" w:hanging="259"/>
      </w:pPr>
      <w:r>
        <w:t>3. Las consultas son parametrizadas y se validan formularios, JSON, XML, XSD y archivos, incluida la protección contra inyección y XXE.</w:t>
      </w:r>
    </w:p>
    <w:p>
      <w:pPr>
        <w:spacing w:after="60"/>
        <w:ind w:left="360" w:hanging="259"/>
      </w:pPr>
      <w:r>
        <w:t>4. Los endpoints aplican rate limiting, registran intentos fallidos y ejecutan el bloqueo temporal configurado sin facilitar enumeración de cuentas.</w:t>
      </w:r>
    </w:p>
    <w:p>
      <w:pPr>
        <w:spacing w:after="60"/>
        <w:ind w:left="360" w:hanging="259"/>
      </w:pPr>
      <w:r>
        <w:t>5. Las comunicaciones se cifran y los secretos permanecen fuera del código, los logs y los archivos versionados.</w:t>
      </w:r>
    </w:p>
    <w:p>
      <w:pPr>
        <w:spacing w:after="60"/>
        <w:ind w:left="360" w:hanging="259"/>
      </w:pPr>
      <w:r>
        <w:t>6. Interfaces, respuestas, errores y bitácoras minimizan u ocultan datos personales, clínicos, ubicación, fotografías, tokens y secretos.</w:t>
      </w:r>
    </w:p>
    <w:p>
      <w:pPr>
        <w:spacing w:after="60"/>
        <w:ind w:left="360" w:hanging="259"/>
      </w:pPr>
      <w:r>
        <w:t>7. La captura de ubicación y fotografías se limita a perfiles, finalidades, traslados y periodos autorizados y elimina copias locales innecesarias.</w:t>
      </w:r>
    </w:p>
    <w:p>
      <w:pPr>
        <w:spacing w:after="60"/>
        <w:ind w:left="360" w:hanging="259"/>
      </w:pPr>
      <w:r>
        <w:t>8. Las políticas de consentimiento, retención, bloqueo, eliminación e intercambio interinstitucional se documentan y validan antes de utilizar datos reales.</w:t>
      </w:r>
    </w:p>
    <w:p>
      <w:pPr>
        <w:spacing w:after="60"/>
        <w:ind w:left="360" w:hanging="259"/>
      </w:pPr>
      <w:r>
        <w:t>9. Las pruebas comprueban autenticación, autorización, expiración, renovación, revocación, acceso cruzado entre ámbitos y manejo de entradas maliciosas.</w:t>
      </w:r>
    </w:p>
    <w:p>
      <w:pPr>
        <w:pStyle w:val="Heading2"/>
      </w:pPr>
      <w:r>
        <w:t>HE-MON-001 — Centralizar señales operativas sin afectar el negocio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13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Componente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Monitoreo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Fase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Posterior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Prioridad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Técnica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Responsable técnico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Equipo de operación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Requerimientos relacionados</w:t>
            </w:r>
          </w:p>
        </w:tc>
        <w:tc>
          <w:tcPr>
            <w:tcW w:type="dxa" w:w="81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9"/>
              </w:rPr>
              <w:t>RNF-MON-001, RNF-MON-002, RNF-MON-003</w:t>
            </w:r>
          </w:p>
        </w:tc>
      </w:tr>
    </w:tbl>
    <w:p>
      <w:pPr>
        <w:spacing w:after="0"/>
      </w:pPr>
    </w:p>
    <w:p>
      <w:r>
        <w:rPr>
          <w:b/>
        </w:rPr>
        <w:t>Historia habilitadora:</w:t>
      </w:r>
      <w:r>
        <w:t xml:space="preserve"> Como equipo de operación, necesitamos health checks, logs y métricas centralizables y no intrusivos, para observar la plataforma sin convertir el monitoreo en una dependencia de las operaciones del negocio.</w:t>
      </w:r>
    </w:p>
    <w:p>
      <w:r>
        <w:rPr>
          <w:b/>
        </w:rPr>
        <w:t>Criterios de aceptación</w:t>
      </w:r>
    </w:p>
    <w:p>
      <w:pPr>
        <w:spacing w:after="60"/>
        <w:ind w:left="360" w:hanging="259"/>
      </w:pPr>
      <w:r>
        <w:t>1. Los endpoints de salud distinguen proceso detenido, dependencia inaccesible, respuesta inválida y timeout con estados definidos.</w:t>
      </w:r>
    </w:p>
    <w:p>
      <w:pPr>
        <w:spacing w:after="60"/>
        <w:ind w:left="360" w:hanging="259"/>
      </w:pPr>
      <w:r>
        <w:t xml:space="preserve">2. Se implementan los endpoints </w:t>
      </w:r>
      <w:r>
        <w:rPr>
          <w:rFonts w:ascii="Menlo" w:hAnsi="Menlo" w:eastAsia="Menlo"/>
          <w:sz w:val="18"/>
        </w:rPr>
        <w:t>/health/live</w:t>
      </w:r>
      <w:r>
        <w:t xml:space="preserve">, </w:t>
      </w:r>
      <w:r>
        <w:rPr>
          <w:rFonts w:ascii="Menlo" w:hAnsi="Menlo" w:eastAsia="Menlo"/>
          <w:sz w:val="18"/>
        </w:rPr>
        <w:t>/health/ready</w:t>
      </w:r>
      <w:r>
        <w:t xml:space="preserve">, </w:t>
      </w:r>
      <w:r>
        <w:rPr>
          <w:rFonts w:ascii="Menlo" w:hAnsi="Menlo" w:eastAsia="Menlo"/>
          <w:sz w:val="18"/>
        </w:rPr>
        <w:t>/health/database</w:t>
      </w:r>
      <w:r>
        <w:t xml:space="preserve">, </w:t>
      </w:r>
      <w:r>
        <w:rPr>
          <w:rFonts w:ascii="Menlo" w:hAnsi="Menlo" w:eastAsia="Menlo"/>
          <w:sz w:val="18"/>
        </w:rPr>
        <w:t>/health/redis</w:t>
      </w:r>
      <w:r>
        <w:t xml:space="preserve">, </w:t>
      </w:r>
      <w:r>
        <w:rPr>
          <w:rFonts w:ascii="Menlo" w:hAnsi="Menlo" w:eastAsia="Menlo"/>
          <w:sz w:val="18"/>
        </w:rPr>
        <w:t>/health/mongodb</w:t>
      </w:r>
      <w:r>
        <w:t xml:space="preserve"> y </w:t>
      </w:r>
      <w:r>
        <w:rPr>
          <w:rFonts w:ascii="Menlo" w:hAnsi="Menlo" w:eastAsia="Menlo"/>
          <w:sz w:val="18"/>
        </w:rPr>
        <w:t>/health/storage</w:t>
      </w:r>
      <w:r>
        <w:t xml:space="preserve"> cuando correspondan al servicio.</w:t>
      </w:r>
    </w:p>
    <w:p>
      <w:pPr>
        <w:spacing w:after="60"/>
        <w:ind w:left="360" w:hanging="259"/>
      </w:pPr>
      <w:r>
        <w:t>3. La indisponibilidad del servicio de monitoreo no detiene las funciones propias de los componentes supervisados.</w:t>
      </w:r>
    </w:p>
    <w:p>
      <w:pPr>
        <w:spacing w:after="60"/>
        <w:ind w:left="360" w:hanging="259"/>
      </w:pPr>
      <w:r>
        <w:t>4. Logs y métricas utilizan timestamps, servicio, versión e identificadores de correlación que permiten seguir una petición distribuida.</w:t>
      </w:r>
    </w:p>
    <w:p>
      <w:pPr>
        <w:spacing w:after="60"/>
        <w:ind w:left="360" w:hanging="259"/>
      </w:pPr>
      <w:r>
        <w:t>5. Las señales operativas no almacenan datos clínicos, tokens, secretos, ubicaciones o fotografías innecesarias.</w:t>
      </w:r>
    </w:p>
    <w:p>
      <w:pPr>
        <w:spacing w:after="60"/>
        <w:ind w:left="360" w:hanging="259"/>
      </w:pPr>
      <w:r>
        <w:t>6. Los periodos de conservación y el acceso a logs, métricas e historial se configuran y documentan.</w:t>
      </w:r>
    </w:p>
    <w:sectPr w:rsidR="00FC693F" w:rsidRPr="0006063C" w:rsidSect="00034616">
      <w:footerReference w:type="default" r:id="rId9"/>
      <w:pgSz w:w="12240" w:h="15840"/>
      <w:pgMar w:top="979" w:right="1008" w:bottom="97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374151"/>
        <w:sz w:val="17"/>
      </w:rPr>
      <w:t xml:space="preserve">Equipo 01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</dc:title>
  <dc:subject>Proyecto 6: Red regional de bancos de sangre y donación de órganos</dc:subject>
  <dc:creator>Equipo 01</dc:creator>
  <cp:keywords/>
  <dc:description>Línea base documental del proyecto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