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perfiles y permisos</w:t>
      </w:r>
    </w:p>
    <w:p>
      <w:pPr>
        <w:spacing w:after="180"/>
      </w:pPr>
      <w:r>
        <w:rPr>
          <w:i/>
        </w:rPr>
        <w:t>Revisión documental — 14 de octubre de 2026: documento de referencia para el alcance y la planificación del semestre. Las fases y fechas originales expresan la secuencia prevista, no el estado de implementación. El portal integrado, los microservicios, PostgreSQL, MongoDB y Redis ya tienen operación local; Android, escritorio, Docker y GCP siguen pendientes. PROJECT_STATUS.md registra el avance comprobado. La arquitectura ejecutable se describe en documentation/markdowns/Arquitectura.md y la persistencia en documentation/markdowns/Datos_y_persistencia.md. El reporte integral de septiembre conserva una entrega anterior.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Proyecto:</w:t>
            </w:r>
            <w:r>
              <w:rPr>
                <w:sz w:val="19"/>
              </w:rPr>
              <w:t xml:space="preserve"> Red regional de bancos de sangre y donación de órganos — Equipo 01.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Estado:</w:t>
            </w:r>
            <w:r>
              <w:rPr>
                <w:sz w:val="19"/>
              </w:rPr>
              <w:t xml:space="preserve"> borrador consolidado para validación académica.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Fecha:</w:t>
            </w:r>
            <w:r>
              <w:rPr>
                <w:sz w:val="19"/>
              </w:rPr>
              <w:t xml:space="preserve"> 7 de septiembre de 2026.</w:t>
            </w:r>
          </w:p>
          <w:p>
            <w:pPr>
              <w:spacing w:after="40"/>
            </w:pPr>
            <w:r>
              <w:rPr>
                <w:b/>
                <w:sz w:val="19"/>
              </w:rPr>
              <w:t>Cobertura:</w:t>
            </w:r>
            <w:r>
              <w:rPr>
                <w:sz w:val="19"/>
              </w:rPr>
              <w:t xml:space="preserve"> proyecto académico completo, con habilitación gradual por parciales e incrementos.</w:t>
            </w:r>
          </w:p>
        </w:tc>
      </w:tr>
    </w:tbl>
    <w:p>
      <w:pPr>
        <w:spacing w:after="0"/>
      </w:pPr>
    </w:p>
    <w:p>
      <w:pPr>
        <w:pStyle w:val="Heading1"/>
      </w:pPr>
      <w:r>
        <w:t>1. Propósito y alcance</w:t>
      </w:r>
    </w:p>
    <w:p>
      <w:r>
        <w:t>Las autorizaciones de la plataforma se organizan mediante siete perfiles funcionales, el ámbito institucional asignado y las condiciones particulares de cada recurso u operación. La pertenencia a un perfil no concede acceso general: toda acción protegida requiere identidad y sesión activas, permiso vigente, ámbito autorizado y acceso al recurso solicitado.</w:t>
      </w:r>
    </w:p>
    <w:p>
      <w:r>
        <w:t>La matriz comprende el sistema web, la aplicación móvil Android, la aplicación de escritorio y las operaciones expuestas por los microservicios. Ningún perfil accede directamente a PostgreSQL, MongoDB, Redis o Google Cloud Storage; dichos recursos se utilizan únicamente a través de los componentes autorizados de la plataforma.</w:t>
      </w:r>
    </w:p>
    <w:p>
      <w:r>
        <w:t xml:space="preserve">Los siete perfiles pertenecen al alcance completo. Durante el primer parcial solo se habilitarán funcionalmente </w:t>
      </w:r>
      <w:r>
        <w:rPr>
          <w:b/>
        </w:rPr>
        <w:t>Administrador</w:t>
      </w:r>
      <w:r>
        <w:t xml:space="preserve">, </w:t>
      </w:r>
      <w:r>
        <w:rPr>
          <w:b/>
        </w:rPr>
        <w:t>Operador de banco de sangre</w:t>
      </w:r>
      <w:r>
        <w:t xml:space="preserve"> y </w:t>
      </w:r>
      <w:r>
        <w:rPr>
          <w:b/>
        </w:rPr>
        <w:t>Auditor</w:t>
      </w:r>
      <w:r>
        <w:t>. Las autorizaciones clínicas y regulatorias descritas para etapas posteriores permanecerán sujetas a validación competente y no se interpretarán como acreditaciones profesionales.</w:t>
      </w:r>
    </w:p>
    <w:p>
      <w:pPr>
        <w:pStyle w:val="Heading1"/>
      </w:pPr>
      <w:r>
        <w:t>2. Criterios de autorización</w:t>
      </w:r>
    </w:p>
    <w:p>
      <w:pPr>
        <w:pStyle w:val="Heading2"/>
      </w:pPr>
      <w:r>
        <w:t>2.1 Principios aplicables</w:t>
      </w:r>
    </w:p>
    <w:p>
      <w:pPr>
        <w:pStyle w:val="ListBullet"/>
      </w:pPr>
      <w:r>
        <w:t>Se aplicará denegación por defecto y mínimo privilegio: toda operación no concedida expresamente permanecerá bloqueada.</w:t>
      </w:r>
    </w:p>
    <w:p>
      <w:pPr>
        <w:pStyle w:val="ListBullet"/>
      </w:pPr>
      <w:r>
        <w:t>La autorización comprobará perfil, acción, recurso y ámbito institucional; conocer una dirección o un identificador no concede acceso.</w:t>
      </w:r>
    </w:p>
    <w:p>
      <w:pPr>
        <w:pStyle w:val="ListBullet"/>
      </w:pPr>
      <w:r>
        <w:t>Un perfil administrativo u operativo no otorga facultades clínicas, y un perfil clínico no sustituye la acreditación profesional o institucional correspondiente.</w:t>
      </w:r>
    </w:p>
    <w:p>
      <w:pPr>
        <w:pStyle w:val="ListBullet"/>
      </w:pPr>
      <w:r>
        <w:t>Las consultas regionales mostrarán únicamente la información necesaria para la finalidad autorizada y quedarán sujetas a auditoría.</w:t>
      </w:r>
    </w:p>
    <w:p>
      <w:pPr>
        <w:pStyle w:val="ListBullet"/>
      </w:pPr>
      <w:r>
        <w:t>La compatibilidad, la priorización y las recomendaciones algorítmicas serán elementos de apoyo; las decisiones que lo requieran conservarán intervención humana autorizada.</w:t>
      </w:r>
    </w:p>
    <w:p>
      <w:pPr>
        <w:pStyle w:val="ListBullet"/>
      </w:pPr>
      <w:r>
        <w:t>La ubicación, las fotografías y los datos logísticos solo estarán disponibles durante el proceso, finalidad y periodo autorizados.</w:t>
      </w:r>
    </w:p>
    <w:p>
      <w:pPr>
        <w:pStyle w:val="ListBullet"/>
      </w:pPr>
      <w:r>
        <w:t>Las operaciones sensibles, los cambios de permisos, los accesos restringidos y las decisiones quedarán registrados sin exponer secretos ni información innecesaria.</w:t>
      </w:r>
    </w:p>
    <w:p>
      <w:pPr>
        <w:pStyle w:val="Heading2"/>
      </w:pPr>
      <w:r>
        <w:t>2.2 Fases de habilitación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Aplicación en la matriz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Permisos funcionales del producto mínimo: identidad, perfiles iniciales, instituciones, catálogos, inventario sanguíneo ficticio, panel básico y auditoría.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Permisos del alcance completo que se habilitarán con microservicios, aplicación móvil, aplicación de escritorio y procesos clínicos u operativos posteriores.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Transversal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Controles que se aplican desde el inicio y continúan en todo componente e incremento pertinente.</w:t>
            </w:r>
          </w:p>
        </w:tc>
      </w:tr>
    </w:tbl>
    <w:p>
      <w:pPr>
        <w:spacing w:after="0"/>
      </w:pPr>
    </w:p>
    <w:p>
      <w:pPr>
        <w:pStyle w:val="Heading2"/>
      </w:pPr>
      <w:r>
        <w:t>2.3 Tipos de permiso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Código</w:t>
            </w:r>
          </w:p>
        </w:tc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Significado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información autorizada sin modificarla.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Registrar o actualizar información dentro del flujo permitido.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Administrar altas, cambios, activaciones o inactivaciones de una entidad de configuración.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REV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Revisar información de apoyo y registrar una decisión humana autorizada.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EJE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o confirmar una operación asignada.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EXP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Generar o exportar información autorizada.</w:t>
            </w:r>
          </w:p>
        </w:tc>
      </w:tr>
    </w:tbl>
    <w:p>
      <w:pPr>
        <w:spacing w:after="0"/>
      </w:pPr>
    </w:p>
    <w:p>
      <w:r>
        <w:t>Los códigos describen el tipo de acción, no una jerarquía entre perfiles. Un permiso solo es efectivo dentro de su fase, componente, ámbito y condiciones de validación.</w:t>
      </w:r>
    </w:p>
    <w:p>
      <w:pPr>
        <w:pStyle w:val="Heading1"/>
      </w:pPr>
      <w:r>
        <w:t>3. Perfiles y niveles de autorización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Nivel de autorización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Ámbito funcional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Componentes utilizados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Habilitación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Administración acotada por ámbito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Usuarios, perfiles, instituciones, catálogos, configuración y supervisión técnica autorizada; sin facultades clínicas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 web y, posteriormente, panel de monitoreo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Operador de banco de sangre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Operación institucional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Donantes autorizados, unidades sanguíneas, inventario, pruebas capturadas, etiquetas, custodia y reportes operativos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Sistema web y, posteriormente, aplicación de escritorio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Acceso clínico restringido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Donantes, receptores, solicitudes, estudios y revisión explicable de compatibilidad o priorización conforme a su autorización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 web y, posteriormente, aplicación de escritorio para la revisión especializada autorizada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Coordinador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Coordinación regional minimizada y auditable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Solicitudes, candidatos, asignaciones, disponibilidad, traslados, cadena de custodia, alertas e indicadores regionales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Sistema web y aplicación de escritorio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de 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Operación logística temporal y asignada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Órdenes propias, identificación del recurso, recolección, entrega, incidencias, ubicación y evidencia autorizada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Aplicación móvil Android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Autoservicio sobre información propia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Registro preliminar, perfil propio, campañas, citas y avisos autorizados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Aplicación móvil Android y contenido público del sistema web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independiente de solo lectura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Bitácoras, trazabilidad, evidencias y reportes autorizados dentro de su ámbito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Sistema web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</w:t>
            </w:r>
          </w:p>
        </w:tc>
      </w:tr>
    </w:tbl>
    <w:p>
      <w:pPr>
        <w:spacing w:after="0"/>
      </w:pPr>
    </w:p>
    <w:p>
      <w:r>
        <w:t>El consumo de microservicios será indirecto a través del sistema web o de las aplicaciones cliente. El perfil no modifica esta separación ni habilita conexiones directas con los almacenes de datos.</w:t>
      </w:r>
    </w:p>
    <w:p>
      <w:pPr>
        <w:pStyle w:val="Heading1"/>
      </w:pPr>
      <w:r>
        <w:t>4. Responsabilidades e información autorizada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Perfil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Responsabilidades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Información que puede consultar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Información que puede registrar o modificar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Restricciones principales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Configurar el acceso y la representación administrativa de la red dentro de su ámbito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Usuarios, perfiles, ámbitos, instituciones, sedes, catálogos, parámetros, panel propio y estado técnico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Cuentas, asignaciones de perfil y ámbito, instituciones, sedes, catálogos y parámetros administrativos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 consulta datos clínicos por el solo hecho de administrar; no confirma elegibilidad, compatibilidad, prioridad ni asignación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Operador de banco de sangre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Mantener la operación del inventario y la trazabilidad institucional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Donantes autorizados, unidades, movimientos, estados, caducidad, pruebas capturadas, alertas, custodia, evidencias y reportes operativos permitidos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Datos autorizados de donantes, unidades, movimientos, estados, resultados capturados, etiquetas, eventos de custodia y archivos operativos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No determina elegibilidad ni sustituye la revisión médica; no modifica cálculos, decisiones clínicas o auditoría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y revisar información clínica necesaria para solicitudes y decisiones humanas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Donantes, receptores, solicitudes, urgencia registrada, estudios, recursos candidatos, datos faltantes, compatibilidad y priorización explicables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Expedientes autorizados, solicitudes, urgencia confirmada, estudios y decisiones de aceptación, rechazo, reevaluación o excepción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Solo actúa dentro de su acreditación y ámbito; no administra cuentas o configuración ni utiliza reglas clínicas pendientes como criterios reales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Coordinador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Coordinar disponibilidad, asignaciones y traslados entre instituciones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Vista regional minimizada de solicitudes, candidatos, inventario pertinente, asignaciones, traslados, custodia, alertas, indicadores, evidencias y reportes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Decisiones autorizadas, reservas o asignaciones, órdenes de traslado, incidencias, eventos de custodia y documentación operativa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No altera resultados algorítmicos ni sustituye decisiones médicas o regulatorias; toda excepción requiere motivo y auditoría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de 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Ejecutar el traslado asignado y conservar su cadena de custodia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Identificador del recurso, origen, destino, horario, estado, instrucciones logísticas mínimas y eventos de la orden propia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Escaneos, confirmaciones de recolección y entrega, incidencias, ubicación y evidencia fotográfica autorizada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No consulta expedientes ni información clínica innecesaria; el acceso termina con el periodo autorizado y no puede confirmar asignaciones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Gestionar su participación preliminar en campañas y citas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Perfil y estado propios, campañas publicadas, citas propias y avisos emitidos por personal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Registro preliminar propio y operaciones permitidas sobre sus citas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No consulta inventarios, receptores ni datos de terceros; el registro preliminar no declara elegibilidad ni crea una donación confirmada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Examinar evidencia y trazabilidad sin intervenir en la operación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Autenticaciones, accesos, usuarios, catálogos, unidades, cambios, decisiones, custodia, evidencias y reportes autorizados y minimizados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Ningún dato del negocio; sus consultas o exportaciones autorizadas generan su propia evidencia de auditoría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Acceso de solo lectura; no corrige, elimina, aprueba ni ejecuta operaciones y no obtiene acceso clínico indiscriminado</w:t>
            </w:r>
          </w:p>
        </w:tc>
      </w:tr>
    </w:tbl>
    <w:p>
      <w:pPr>
        <w:spacing w:after="0"/>
      </w:pPr>
    </w:p>
    <w:p>
      <w:pPr>
        <w:pStyle w:val="Heading1"/>
      </w:pPr>
      <w:r>
        <w:t>5. Matriz consolidada de permisos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  <w:cantSplit/>
        </w:trPr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Área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Operación protegida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Perfil o perfiles autorizados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Permiso</w:t>
            </w:r>
          </w:p>
        </w:tc>
        <w:tc>
          <w:tcPr>
            <w:tcW w:type="dxa" w:w="1987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Fase y condición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Identidad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Iniciar y cerrar la sesión propia y consultar el perfil vigente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Los siete perfiles, conforme se habiliten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CON, 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 para los tres perfiles iniciales; posterior para los cuatro restantes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Identidad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Recuperar el acceso mediante el flujo seguro definido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Los siete perfiles con cuenta habilitada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Acceso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Administrar usuarios, perfiles y ámbitos institucionales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parcial; limitado al ámbito propio y con auditoría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Red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Administrar instituciones y sedes participantes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Primer parcial; la institución es la fuente conceptual única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Configuración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Administrar catálogos y parámetros autorizados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ADM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 para instituciones y tipos de componentes sanguíneos; ampliación 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Paneles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Consultar el panel principal básico según el perfil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Administrador, Operador de banco de sangre y Auditor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Primer parcial; únicamente datos persistidos y accesos iniciales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Paneles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indicadores y panel regional permitidos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Coordinador regional; los demás perfiles internos solo respecto de indicadores expresamente autorizados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vista minimizada por perfil y ámbito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Registrar o mantener el expediente autorizado de un donante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Operador de banco de sangre y 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sin declaración automática de elegibilidad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Receptores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o mantener el expediente y la participación autorizada de un receptor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el receptor no obtiene una cuenta por defecto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Enviar y consultar un registro preliminar propio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pendiente de validación presencial o profesional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Campañas y citas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campañas y programar, consultar o cancelar citas propias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Donante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CON, REG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solo campañas publicadas y vigentes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Avisos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Consultar avisos propios de elegibilidad o seguimiento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el aviso debe proceder de una decisión autorizada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Inventario sanguíneo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unidades ficticias, consultar inventario y cambiar estados permitidos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Operador de banco de sangre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 con caducidad demostrativa; ampliación 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Órganos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Mantener disponibilidad y viabilidad mediante el flujo especializado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separado del inventario sanguíneo y sujeto a validación clínica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Pruebas y estudios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Capturar resultados y consultar su estado e historial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Operador de banco de sangre y 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la captura no confirma compatibilidad ni disponibilidad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Etiquetas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Imprimir o reimprimir una etiqueta trazable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Operador de banco de sangre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plantilla autorizada y motivo de reimpresión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Solicitudes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y dar seguimiento a solicitudes ordinarias o urgentes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médico autorizado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urgencia registrada o confirmada por personal autorizado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Compatibilidad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Consultar candidatos, datos faltantes y resultados explicables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Personal médico autorizado y Coordinador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CON, REV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reglas autorizadas y versionadas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Priorización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el ordenamiento y sus factores de urgencia, tiempo y distancia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médico autorizado y Coordinador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CON, REV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sin fórmulas ni ponderaciones inventadas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Revisión humana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Registrar aceptación, rechazo, reevaluación o excepción justificada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Personal médico autorizado y Coordinador regional, según la competencia validada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REV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no modifica el cálculo original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Asignación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Reservar, asignar, liberar, cancelar o reasignar un recurso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Coordinador regional, sujeto a la autorización clínica o normativa aplicable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REV, 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confirmación humana y prevención de doble asignación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Programar órdenes y consultar su seguimiento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Coordinador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REG, 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y ejecutar la orden asignada mediante escaneo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de 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CON, 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coincidencia obligatoria entre orden, recurso y evento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Registrar ubicación y evidencia fotográfica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Personal de 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REG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únicamente durante la orden, evento y periodo autorizados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Custodia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Registrar o consultar eventos de recolección, traslado y entrega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de traslado, Operador de banco de sangre y Coordinador regional, según el evento asignado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REG, CON, 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eventos secuenciales y no editables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Operación móvil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Conservar y sincronizar operaciones seguras permitidas sin conexión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Donante y Personal de traslado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no incluye decisiones clínicas o asignaciones sin validación del servidor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Alertas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Consultar y atender alertas dirigidas al perfil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Los siete perfiles, únicamente según el tipo de alerta y su capacidad de actuación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CON, EJE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Reportes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Consultar, filtrar y exportar reportes autorizados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Operador de banco de sangre, Coordinador regional y Auditor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CON, EXP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los formatos no validados no se presentan como regulatorios oficiales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Archivos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Cargar archivos o evidencias vinculados con una operación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Operador de banco de sangre, Personal médico autorizado y Coordinador regional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REG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Posterior; tipo, tamaño, finalidad y permiso validados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Archivos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Consultar o descargar archivos y evidencias autorizados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Operador de banco de sangre, Personal médico autorizado, Coordinador regional y Auditor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acceso privado, temporal y auditado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Auditoría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Buscar, filtrar y consultar la bitácora autorizada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Auditor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Primer parcial para usuarios, catálogos, unidades y cambios; ampliación transversal</w:t>
            </w:r>
          </w:p>
        </w:tc>
      </w:tr>
      <w:tr>
        <w:trPr>
          <w:cantSplit/>
        </w:trPr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Monitoreo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Consultar salud, disponibilidad, errores e historial de los servicios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Administrador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CON</w:t>
            </w:r>
          </w:p>
        </w:tc>
        <w:tc>
          <w:tcPr>
            <w:tcW w:type="dxa" w:w="1987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Posterior; no concede acceso al contenido clínico de logs o trazas</w:t>
            </w:r>
          </w:p>
        </w:tc>
      </w:tr>
    </w:tbl>
    <w:p>
      <w:pPr>
        <w:spacing w:after="0"/>
      </w:pPr>
    </w:p>
    <w:p>
      <w:pPr>
        <w:pStyle w:val="Heading1"/>
      </w:pPr>
      <w:r>
        <w:t>6. Participantes sin perfil funcional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  <w:cantSplit/>
        </w:trPr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Participante</w:t>
            </w:r>
          </w:p>
        </w:tc>
        <w:tc>
          <w:tcPr>
            <w:tcW w:type="dxa" w:w="4968"/>
            <w:vAlign w:val="center"/>
            <w:shd w:fill="991B1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Tratamiento dentro de la plataforma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Público general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Consulta únicamente el contenido público autorizado; no posee permisos privados.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Receptor o paciente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Es una persona protegida y sujeto de información; no dispone de acceso directo en el alcance definido.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Institución u hospital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Determina el ámbito de usuarios y datos y se administra como entidad; no constituye un perfil.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Autoridad regulatoria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4F6"/>
          </w:tcPr>
          <w:p>
            <w:pPr>
              <w:spacing w:after="0"/>
            </w:pPr>
            <w:r>
              <w:rPr>
                <w:sz w:val="17"/>
              </w:rPr>
              <w:t>Puede recibir reportes autorizados cuando corresponda; no se define un acceso ordinario a la plataforma.</w:t>
            </w:r>
          </w:p>
        </w:tc>
      </w:tr>
      <w:tr>
        <w:trPr>
          <w:cantSplit/>
        </w:trPr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Personal técnico o de soporte</w:t>
            </w:r>
          </w:p>
        </w:tc>
        <w:tc>
          <w:tcPr>
            <w:tcW w:type="dxa" w:w="496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Opera infraestructura fuera de los perfiles del negocio; cualquier acceso excepcional a datos debe justificarse, limitarse y auditarse.</w:t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991B1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7F1D1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rial" w:hAnsi="Arial" w:eastAsia="Arial"/>
      <w:color w:val="1F29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rial" w:hAnsi="Arial" w:eastAsia="Arial"/>
      <w:color w:val="1F29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perfiles y permisos</dc:title>
  <dc:subject>Proyecto 6: Red regional de bancos de sangre y donación de órganos</dc:subject>
  <dc:creator>python-docx</dc:creator>
  <cp:keywords/>
  <dc:description>Borrador consolidado para validación académica, 1 de septiembre de 2026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