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6" w:color="9FBAD0"/>
        </w:pBdr>
      </w:pPr>
      <w:r>
        <w:t>Matriz de trazabilidad integral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dxa" w:w="14112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256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Proyecto:</w:t>
            </w:r>
            <w:r>
              <w:rPr>
                <w:sz w:val="18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Estado:</w:t>
            </w:r>
            <w:r>
              <w:rPr>
                <w:sz w:val="18"/>
              </w:rPr>
              <w:t xml:space="preserve"> línea base documental del alcance completo.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Fecha:</w:t>
            </w:r>
            <w:r>
              <w:rPr>
                <w:sz w:val="18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Cobertura:</w:t>
            </w:r>
            <w:r>
              <w:rPr>
                <w:sz w:val="18"/>
              </w:rPr>
              <w:t xml:space="preserve"> 94 requerimientos, 44 historias, 40 reglas de negocio y 15 casos de uso principales.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La matriz vincula cada requerimiento funcional y no funcional con la historia de usuario o habilitadora que lo desarrolla, las reglas de negocio aplicables, el caso de uso principal que lo materializa y la evidencia prevista para comprobarlo. La definición completa de cada elemento permanece en su documento de origen; los textos breves de esta matriz sirven únicamente para facilitar su identificación.</w:t>
      </w:r>
    </w:p>
    <w:p>
      <w:r>
        <w:t xml:space="preserve">La cobertura corresponde a todo el semestre. La fase </w:t>
      </w:r>
      <w:r>
        <w:rPr>
          <w:b/>
        </w:rPr>
        <w:t>Primer parcial</w:t>
      </w:r>
      <w:r>
        <w:t xml:space="preserve"> delimita el producto mínimo funcional, </w:t>
      </w:r>
      <w:r>
        <w:rPr>
          <w:b/>
        </w:rPr>
        <w:t>Posterior</w:t>
      </w:r>
      <w:r>
        <w:t xml:space="preserve"> identifica capacidades de los siguientes incrementos y </w:t>
      </w:r>
      <w:r>
        <w:rPr>
          <w:b/>
        </w:rPr>
        <w:t>Transversal</w:t>
      </w:r>
      <w:r>
        <w:t xml:space="preserve"> señala obligaciones que se aplican cada vez que el proceso relacionado entra en operación. La matriz no presenta como implementados los elementos que solo se encuentran documentados.</w:t>
      </w:r>
    </w:p>
    <w:p>
      <w:r>
        <w:t>Las relaciones clínicas o regulatorias conservan su clasificación original. Hasta disponer de validación competente, su verificación académica utilizará datos ficticios, reglas demostrativas identificadas y comprobación explícita de la intervención humana.</w:t>
      </w:r>
    </w:p>
    <w:p>
      <w:pPr>
        <w:pStyle w:val="Heading1"/>
      </w:pPr>
      <w:r>
        <w:t>2. Modelo de trazabilidad</w:t>
      </w:r>
    </w:p>
    <w:p>
      <w:pPr>
        <w:pStyle w:val="Heading2"/>
      </w:pPr>
      <w:r>
        <w:t>2.1 Elementos relacionados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12456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245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Función dentro de la matriz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RF / RNF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Necesidad funcional o cualidad verificable que constituye el punto de partida de cada fila.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 / HE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Historia de usuario o historia habilitadora que expresa el valor o capacidad técnica relacionada.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Regla de negocio existente que condiciona la operación. Un guion indica que el requisito es un control técnico sin regla de negocio específica.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Caso de uso principal que organiza el comportamiento observable. En un RNF puede indicarse una aplicación transversal a varios casos.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Tipo de evidencia mediante la cual se comprobará el requisito en el incremento correspondiente.</w:t>
            </w:r>
          </w:p>
        </w:tc>
      </w:tr>
    </w:tbl>
    <w:p>
      <w:pPr>
        <w:spacing w:after="0"/>
      </w:pPr>
    </w:p>
    <w:p>
      <w:pPr>
        <w:pStyle w:val="Heading2"/>
      </w:pPr>
      <w:r>
        <w:t>2.2 Tipos de verificación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12456"/>
      </w:tblGrid>
      <w:tr>
        <w:trPr>
          <w:tblHeader w:val="true"/>
          <w:cantSplit/>
        </w:trPr>
        <w:tc>
          <w:tcPr>
            <w:tcW w:type="dxa" w:w="165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245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Evidencia prevista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VT-01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Prueba funcional o demostración del flujo con resultado esperado, persistencia real y auditoría cuando corresponda.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VT-02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Prueba de autenticación, autorización, ámbito, sesión, revocación, ocultamiento o manejo seguro de errores.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VT-03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Prueba de contrato HTTP, JSON, XML/XSD, versionamiento, validación y documentación OpenAPI/Swagger.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VT-04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Prueba de persistencia, integridad, transacción, índices, metadatos, retención, respaldo o restauración.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VT-05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Evidencia reproducible de repositorio, variables, contenedores, integración continua, red o despliegue.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VT-06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Prueba de salud, timeout, dependencia inaccesible, degradación, recuperación e idempotencia.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VT-07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Medición de carga, concurrencia, consumo, media, p95, p99, errores y recuperación mediante el conjunto de datos definido.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VT-08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Prueba de interfaz, accesibilidad, dispositivo, conectividad, sincronización o tarea de usabilidad.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sz w:val="18"/>
              </w:rPr>
              <w:t>VT-09</w:t>
            </w:r>
          </w:p>
        </w:tc>
        <w:tc>
          <w:tcPr>
            <w:tcW w:type="dxa" w:w="124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Validación clínica/normativa o, mientras esté pendiente, demostración identificada con datos ficticios, explicación y control humano.</w:t>
            </w:r>
          </w:p>
        </w:tc>
      </w:tr>
    </w:tbl>
    <w:p>
      <w:pPr>
        <w:spacing w:after="0"/>
      </w:pPr>
    </w:p>
    <w:p>
      <w:pPr>
        <w:pStyle w:val="Heading1"/>
      </w:pPr>
      <w:r>
        <w:t>3. Resumen de cobertura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92"/>
        <w:gridCol w:w="864"/>
        <w:gridCol w:w="936"/>
        <w:gridCol w:w="8424"/>
      </w:tblGrid>
      <w:tr>
        <w:trPr>
          <w:tblHeader w:val="true"/>
          <w:cantSplit/>
        </w:trPr>
        <w:tc>
          <w:tcPr>
            <w:tcW w:type="dxa" w:w="309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9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type="dxa" w:w="8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RNF</w:t>
            </w:r>
          </w:p>
        </w:tc>
        <w:tc>
          <w:tcPr>
            <w:tcW w:type="dxa" w:w="93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842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Historias principales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Sistema web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HU-WEB-001 a HU-WEB-016; HE-WEB-001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Microservicios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HU-MS-001 a HU-MS-004; HE-MS-001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Aplicación móvil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HU-MOV-001 a HU-MOV-007; HE-MOV-001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Aplicación de escritorio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HU-DESK-001 a HU-DESK-006; HE-DESK-001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Bases de datos y almacenamiento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HE-DAT-001 y HU funcionales relacionadas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Infraestructura e integración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HE-INF-001, HE-INF-002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Seguridad y privacidad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HE-SEC-001 y HU de acceso o auditoría relacionadas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Monitoreo y observabilidad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HU-MON-001, HU-MON-002, HE-MON-001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7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53</w:t>
            </w:r>
          </w:p>
        </w:tc>
        <w:tc>
          <w:tcPr>
            <w:tcW w:type="dxa" w:w="8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41</w:t>
            </w:r>
          </w:p>
        </w:tc>
        <w:tc>
          <w:tcPr>
            <w:tcW w:type="dxa" w:w="9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94</w:t>
            </w:r>
          </w:p>
        </w:tc>
        <w:tc>
          <w:tcPr>
            <w:tcW w:type="dxa" w:w="84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35 HU y 9 HE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4. Matriz general de trazabilidad</w:t>
      </w:r>
    </w:p>
    <w:p>
      <w:r>
        <w:t>La siguiente matriz presenta el encadenamiento general entre los ocho componentes, sus requerimientos, las historias que los desarrollan, las familias de reglas aplicables, los casos de uso y las evidencias previstas. Integra elementos de las matrices detalladas para facilitar una lectura inicial del sistema completo antes de consultar cada relación individual.</w:t>
      </w:r>
    </w:p>
    <w:p>
      <w:r>
        <w:t xml:space="preserve">Los rangos y las familias representan cobertura agrupada y no significan que cada regla, caso de uso o tipo de verificación se aplique a todos los requerimientos del componente. Las asociaciones exactas y la fase </w:t>
      </w:r>
      <w:r>
        <w:rPr>
          <w:b/>
        </w:rPr>
        <w:t>Primer parcial</w:t>
      </w:r>
      <w:r>
        <w:t xml:space="preserve">, </w:t>
      </w:r>
      <w:r>
        <w:rPr>
          <w:b/>
        </w:rPr>
        <w:t>Posterior</w:t>
      </w:r>
      <w:r>
        <w:t xml:space="preserve"> o </w:t>
      </w:r>
      <w:r>
        <w:rPr>
          <w:b/>
        </w:rPr>
        <w:t>Transversal</w:t>
      </w:r>
      <w:r>
        <w:t xml:space="preserve"> se especifican en los apartados siguientes.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04"/>
        <w:gridCol w:w="2592"/>
        <w:gridCol w:w="2304"/>
        <w:gridCol w:w="2015"/>
        <w:gridCol w:w="2015"/>
      </w:tblGrid>
      <w:tr>
        <w:trPr>
          <w:tblHeader w:val="true"/>
          <w:cantSplit/>
        </w:trPr>
        <w:tc>
          <w:tcPr>
            <w:tcW w:type="dxa" w:w="288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Componente y alcance</w:t>
            </w:r>
          </w:p>
        </w:tc>
        <w:tc>
          <w:tcPr>
            <w:tcW w:type="dxa" w:w="230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RF/RNF</w:t>
            </w:r>
          </w:p>
        </w:tc>
        <w:tc>
          <w:tcPr>
            <w:tcW w:type="dxa" w:w="259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230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</w:t>
            </w:r>
          </w:p>
        </w:tc>
        <w:tc>
          <w:tcPr>
            <w:tcW w:type="dxa" w:w="201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</w:t>
            </w:r>
          </w:p>
        </w:tc>
        <w:tc>
          <w:tcPr>
            <w:tcW w:type="dxa" w:w="2015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VT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Sistema web</w:t>
            </w:r>
            <w:r>
              <w:br/>
            </w:r>
            <w:r>
              <w:rPr>
                <w:sz w:val="18"/>
              </w:rPr>
              <w:t>Portal público y privado, administración, operación, paneles, archivos y auditoría.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RF-WEB-001 a RF-WEB-018;</w:t>
            </w:r>
            <w:r>
              <w:br/>
            </w:r>
            <w:r>
              <w:rPr>
                <w:sz w:val="18"/>
              </w:rPr>
              <w:t>RNF-WEB-001 a RNF-WEB-004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HU-WEB-001 a HU-WEB-016;</w:t>
            </w:r>
            <w:r>
              <w:br/>
            </w:r>
            <w:r>
              <w:rPr>
                <w:sz w:val="18"/>
              </w:rPr>
              <w:t>HU-MS-001, HU-MS-002;</w:t>
            </w:r>
            <w:r>
              <w:br/>
            </w:r>
            <w:r>
              <w:rPr>
                <w:sz w:val="18"/>
              </w:rPr>
              <w:t>HE-WEB-001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Familias RN-GOB, RN-ACC, RN-PER, RN-INV, RN-SOL, RN-LOG y RN-COM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 a CU-14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 y VT-04 a VT-09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Microservicios</w:t>
            </w:r>
            <w:r>
              <w:br/>
            </w:r>
            <w:r>
              <w:rPr>
                <w:sz w:val="18"/>
              </w:rPr>
              <w:t>Capacidades compartidas del dominio, contratos, integración, algoritmos y resiliencia.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RF-MS-001 a RF-MS-009;</w:t>
            </w:r>
            <w:r>
              <w:br/>
            </w:r>
            <w:r>
              <w:rPr>
                <w:sz w:val="18"/>
              </w:rPr>
              <w:t>RNF-MS-001 a RNF-MS-006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HU-MS-001 a HU-MS-004;</w:t>
            </w:r>
            <w:r>
              <w:br/>
            </w:r>
            <w:r>
              <w:rPr>
                <w:sz w:val="18"/>
              </w:rPr>
              <w:t>HE-MS-001;</w:t>
            </w:r>
            <w:r>
              <w:br/>
            </w:r>
            <w:r>
              <w:rPr>
                <w:sz w:val="18"/>
              </w:rPr>
              <w:t>historias consumidoras de web, móvil y escritorio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Familias RN-GOB, RN-PER, RN-INV, RN-SOL, RN-LOG y RN-COM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 y CU-04 a CU-15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 a VT-07 y VT-09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Aplicación móvil</w:t>
            </w:r>
            <w:r>
              <w:br/>
            </w:r>
            <w:r>
              <w:rPr>
                <w:sz w:val="18"/>
              </w:rPr>
              <w:t>Participación del Donante y ejecución autorizada del traslado mediante JSON.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RF-MOV-001 a RF-MOV-007;</w:t>
            </w:r>
            <w:r>
              <w:br/>
            </w:r>
            <w:r>
              <w:rPr>
                <w:sz w:val="18"/>
              </w:rPr>
              <w:t>RNF-MOV-001 a RNF-MOV-004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HU-MOV-001 a HU-MOV-007;</w:t>
            </w:r>
            <w:r>
              <w:br/>
            </w:r>
            <w:r>
              <w:rPr>
                <w:sz w:val="18"/>
              </w:rPr>
              <w:t>HE-MOV-001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Familias RN-ACC, RN-PER, RN-LOG y RN-COM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CU-01, CU-05 y CU-10 a CU-12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 a VT-06, VT-08 y VT-09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Aplicación de escritorio</w:t>
            </w:r>
            <w:r>
              <w:br/>
            </w:r>
            <w:r>
              <w:rPr>
                <w:sz w:val="18"/>
              </w:rPr>
              <w:t>Operación interna, revisión, etiquetas, custodia y reportes mediante XML/XSD.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RF-DESK-001 a RF-DESK-007;</w:t>
            </w:r>
            <w:r>
              <w:br/>
            </w:r>
            <w:r>
              <w:rPr>
                <w:sz w:val="18"/>
              </w:rPr>
              <w:t>RNF-DESK-001 a RNF-DESK-004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HU-DESK-001 a HU-DESK-006;</w:t>
            </w:r>
            <w:r>
              <w:br/>
            </w:r>
            <w:r>
              <w:rPr>
                <w:sz w:val="18"/>
              </w:rPr>
              <w:t>HE-DESK-001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Familias RN-GOB, RN-ACC, RN-INV, RN-SOL, RN-LOG y RN-COM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CU-01, CU-04, CU-07, CU-08, CU-11 y CU-13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 a VT-06, VT-08 y VT-09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Bases de datos y almacenamiento</w:t>
            </w:r>
            <w:r>
              <w:br/>
            </w:r>
            <w:r>
              <w:rPr>
                <w:sz w:val="18"/>
              </w:rPr>
              <w:t>Persistencia estructurada y documental, datos temporales, archivos y trazabilidad.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RF-DAT-001 a RF-DAT-005;</w:t>
            </w:r>
            <w:r>
              <w:br/>
            </w:r>
            <w:r>
              <w:rPr>
                <w:sz w:val="18"/>
              </w:rPr>
              <w:t>RNF-DAT-001 a RNF-DAT-004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HE-DAT-001;</w:t>
            </w:r>
            <w:r>
              <w:br/>
            </w:r>
            <w:r>
              <w:rPr>
                <w:sz w:val="18"/>
              </w:rPr>
              <w:t>HU-WEB-015 y HU-WEB-016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RN-LOG-002, RN-LOG-005, RN-COM-004 y RN-COM-005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 a CU-15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 a VT-04, VT-06 y VT-07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Infraestructura e integración</w:t>
            </w:r>
            <w:r>
              <w:br/>
            </w:r>
            <w:r>
              <w:rPr>
                <w:sz w:val="18"/>
              </w:rPr>
              <w:t>Repositorio, contenedores, despliegue, procesos integrales y recuperación.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RNF-INF-001 a RNF-INF-008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HE-INF-001 y HE-INF-002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Sin RN específica; aplican controles técnicos transversales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Habilita CU-01 a CU-15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 a VT-09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Seguridad y privacidad</w:t>
            </w:r>
            <w:r>
              <w:br/>
            </w:r>
            <w:r>
              <w:rPr>
                <w:sz w:val="18"/>
              </w:rPr>
              <w:t>Identidad, autorización, protección de datos, secretos y auditoría de accesos.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RF-SEC-001 a RF-SEC-003;</w:t>
            </w:r>
            <w:r>
              <w:br/>
            </w:r>
            <w:r>
              <w:rPr>
                <w:sz w:val="18"/>
              </w:rPr>
              <w:t>RNF-SEC-001 a RNF-SEC-008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HE-SEC-001;</w:t>
            </w:r>
            <w:r>
              <w:br/>
            </w:r>
            <w:r>
              <w:rPr>
                <w:sz w:val="18"/>
              </w:rPr>
              <w:t>historias de acceso y auditoría relacionadas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Familias RN-ACC, RN-LOG y RN-COM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 a VT-09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Monitoreo y observabilidad</w:t>
            </w:r>
            <w:r>
              <w:br/>
            </w:r>
            <w:r>
              <w:rPr>
                <w:sz w:val="18"/>
              </w:rPr>
              <w:t>Salud, dependencias, disponibilidad, métricas, incidentes y avisos técnicos.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RF-MON-001 a RF-MON-004;</w:t>
            </w:r>
            <w:r>
              <w:br/>
            </w:r>
            <w:r>
              <w:rPr>
                <w:sz w:val="18"/>
              </w:rPr>
              <w:t>RNF-MON-001 a RNF-MON-003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HU-MON-001, HU-MON-002 y HE-MON-001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Sin RN específica; aplican controles técnicos y de seguridad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 y VT-04 a VT-08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Cobertura integral</w:t>
            </w:r>
            <w:r>
              <w:br/>
            </w:r>
            <w:r>
              <w:rPr>
                <w:sz w:val="18"/>
              </w:rPr>
              <w:t>Relación consolidada de los ocho componentes.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53 RF y 41 RNF</w:t>
            </w:r>
          </w:p>
        </w:tc>
        <w:tc>
          <w:tcPr>
            <w:tcW w:type="dxa" w:w="259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35 HU y 9 HE</w:t>
            </w:r>
          </w:p>
        </w:tc>
        <w:tc>
          <w:tcPr>
            <w:tcW w:type="dxa" w:w="230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40 RN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15 CU</w:t>
            </w:r>
          </w:p>
        </w:tc>
        <w:tc>
          <w:tcPr>
            <w:tcW w:type="dxa" w:w="201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9 VT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5. Sistema web empresarial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RF-WEB-001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Sitio público sin información restringida.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RN-ACC-004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RF-WEB-002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Inicio, cierre y recuperación segura de sesión.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RN-ACC-002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RF-WEB-003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Usuarios, perfiles, ámbitos y menús autorizados.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HU-WEB-003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RN-ACC-001, RN-ACC-002, RN-ACC-003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RF-WEB-004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Catálogos y parámetros controlados.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HU-WEB-004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RN-ACC-005, RN-ACC-006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RF-WEB-005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Instituciones y sedes como fuente conceptual única.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HU-WEB-005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RF-WEB-006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Expediente autorizado de donantes.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HU-WEB-006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RN-GOB-004, RN-PER-002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RF-WEB-007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Expediente protegido de receptores o pacientes.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HU-WEB-007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RN-GOB-004, RN-PER-004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CU-06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RF-WEB-008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Inventario sanguíneo ficticio y caducidad demostrativa.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HU-WEB-008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RN-GOB-003, RN-GOB-004, RN-INV-001, RN-INV-002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VT-04,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RF-WEB-009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Disponibilidad y viabilidad de órganos mediante flujo separado.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HU-WEB-009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RN-GOB-004, RN-INV-003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RF-WEB-010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Solicitudes ordinarias y urgentes.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HU-WEB-010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RN-PER-004, RN-SOL-001, RN-SOL-002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CU-06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Captura y consulta de pruebas o estudios diferenciados.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HU-WEB-011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RN-INV-004, RN-SOL-003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CU-07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Candidatos, compatibilidad y priorización explicables.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RN-GOB-001, RN-GOB-005, RN-SOL-004, RN-SOL-006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CU-08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VT-07,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Reserva y asignación con confirmación humana.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HU-WEB-012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RN-GOB-001, RN-LOG-001, RN-LOG-002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CU-09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Programación y seguimiento de traslados y custodia.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HU-MS-002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RN-LOG-003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CU-10,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RF-WEB-015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Panel básico por perfil y evolución regional.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HU-WEB-013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RN-ACC-001, RN-COM-002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RF-WEB-016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Reportes operativos o regulatorios autorizados.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HU-WEB-014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RN-COM-003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RF-WEB-017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Carga y consulta controlada de archivos y evidencias.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HU-WEB-015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RN-COM-004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RF-WEB-018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Consulta de auditoría de solo lectura.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HU-WEB-016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RN-COM-005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RNF-WEB-001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Tecnologías web obligatorias y Highcharts.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HE-WEB-001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 a CU-04, CU-12, CU-14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VT-05,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RNF-WEB-002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Independencia respecto de móvil y escritorio.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HE-WEB-001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los CU del sistema web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VT-05,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RNF-WEB-003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Interfaz responsive, accesible y consultable.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HE-WEB-001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los CU del sistema web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RNF-WEB-004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Persistencia real y errores seguros.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HE-WEB-001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los CU del sistema web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VT-04, VT-06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Módulo de microservicios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Servicios separados para donantes y receptores.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HU-WEB-006, HU-WEB-007, HU-MOV-002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RN-GOB-004, RN-PER-001, RN-PER-002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CU-05, CU-06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VT-03,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Inventario sanguíneo y tratamiento especializado de órganos.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HU-WEB-008, HU-WEB-009, HU-DESK-002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RN-GOB-003, RN-GOB-004, RN-INV-001, RN-INV-003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VT-04,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Matching sanguíneo y HLA versionado y explicable.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RN-GOB-001, RN-GOB-002, RN-GOB-005, RN-SOL-004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CU-08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VT-07,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Ranking multicriterio con urgencia autorizada, tiempo y distancia.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RN-GOB-001, RN-GOB-002, RN-GOB-005, RN-SOL-002, RN-SOL-005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CU-08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VT-07,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RF-MS-005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Comparación u optimización por distancia y tiempo.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HU-MS-002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RN-SOL-005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CU-08, CU-10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VT-06,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RF-MS-006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Transporte y cadena de custodia secuencial.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HU-MS-002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RN-LOG-003, RN-LOG-005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CU-10,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RF-MS-007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Alertas de urgencia, caducidad, retraso e inconsistencias.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HU-MS-003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RN-COM-001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RF-MS-008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Recepción y consulta de eventos de auditoría.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HU-WEB-016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RN-COM-005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VT-03,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RF-MS-009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Pronóstico de caducidad y sugerencias de balanceo.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HU-MS-004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RN-GOB-003, RN-GOB-005, RN-INV-005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VT-07,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RNF-MS-001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Flask REST versionado y contenedores independientes desde el segundo parcial.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CU-05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VT-03, VT-05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RNF-MS-002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Respuestas JSON y XML, OpenAPI/Swagger y XSD.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CU-05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VT-03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RNF-MS-003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Validación de JWT, sesión, revocación y permisos.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 y operaciones protegidas de CU-05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VT-03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RNF-MS-004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Límites de consumo, logs y correlación.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CU-05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VT-03, VT-07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RNF-MS-005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Timeouts, reintentos, idempotencia y fallos controlados.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CU-08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VT-03,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RNF-MS-006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Métricas de algoritmos y carga con Locust.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HE-MS-001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CU-08, CU-11, CU-12,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VT-07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7. Aplicación móvil Android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RF-MOV-001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Sesión JWT, perfil y menú para Donante y Traslado.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HU-MOV-001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RF-MOV-002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Registro preliminar del donante.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HU-MOV-002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RN-PER-001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VT-03,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RF-MOV-003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Campañas y gestión de citas.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HU-MOV-003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RN-PER-005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RF-MOV-004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Avisos autorizados de elegibilidad o seguimiento.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HU-MOV-004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RN-PER-003, RN-COM-001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CU-05, CU-12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RF-MOV-005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Órdenes, escaneo, recolección y entrega.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HU-MOV-005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RN-LOG-004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CU-10,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RF-MOV-006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Ubicación y evidencia fotográfica autorizadas.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HU-MOV-006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RN-LOG-006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RF-MOV-007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Operación temporal sin conexión y sincronización.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HU-MOV-007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RN-LOG-007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CU-05,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VT-06,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RNF-MOV-001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Android en Java o Kotlin y consumo exclusivo de JSON.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HE-MOV-001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CU-01, CU-05, CU-10 a CU-12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VT-03, VT-05,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RNF-MOV-002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Protección de dispositivo, tokens y datos temporales.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HE-MOV-001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CU-01, CU-05,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RNF-MOV-003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Conectividad, validación y errores sin pérdida silenciosa.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HE-MOV-001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CU-01, CU-05,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VT-06,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RNF-MOV-004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Capacidades del dispositivo y pruebas de usabilidad.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HE-MOV-001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CU-05,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VT-08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8. Aplicación de escritorio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RF-DESK-001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Sesión JWT y menú para Operador y Coordinador.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HU-DESK-001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VT-03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RF-DESK-002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Registro de unidades e inventario mediante servicios.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HU-DESK-002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RN-INV-001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VT-04,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RF-DESK-003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Captura y consulta de pruebas con revisión.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HU-DESK-002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RN-INV-004, RN-SOL-003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CU-07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RF-DESK-004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Revisión de compatibilidad, priorización y decisión humana.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HU-DESK-003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RN-GOB-002, RN-SOL-006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CU-08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RF-DESK-005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Impresión de etiquetas autorizadas.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HU-DESK-004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RN-INV-006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VT-08,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RF-DESK-006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Registro y consulta de cadena de custodia.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HU-DESK-005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RN-LOG-005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RF-DESK-007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Tablas, búsqueda, filtros y exportación de reportes.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HU-DESK-006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RN-COM-003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VT-08,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RNF-DESK-001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Tecnología autorizada y desacoplamiento del sistema web.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HE-DESK-001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CU-01, CU-04, CU-07, CU-08, CU-11, 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VT-03, VT-05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RNF-DESK-002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Consumo exclusivo de XML, XSD y protección XXE.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HE-DESK-001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CU-01, CU-04, CU-07, CU-08, CU-11, 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VT-03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RNF-DESK-003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Sesión, permisos y recuperación segura de captura.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HE-DESK-001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CU-01, CU-04, CU-07, CU-08, CU-11, 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VT-03,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RNF-DESK-004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Usabilidad de captura, consulta, exportación e impresión.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HE-DESK-001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CU-04, CU-07, CU-08, CU-11, 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VT-08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9. Bases de datos y almacenamiento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RF-DAT-001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Persistencia estructurada inicial en PostgreSQL.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CU-02, CU-03, CU-04, CU-06, CU-07, CU-09, CU-14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RF-DAT-002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Documentos flexibles, telemetría e historiales en MongoDB.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CU-08, CU-11, CU-12, CU-14,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VT-04, VT-07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RF-DAT-003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Sesiones, revocación, caché, límites y temporales en Redis desde el segundo parcial.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CU-01, CU-09, CU-12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VT-04,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RF-DAT-004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Archivos y evidencias en Google Cloud Storage.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HU-WEB-015, 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RN-COM-004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CU-11, 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RF-DAT-005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Datos mínimos para reconstruir auditoría y custodia.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HU-WEB-016, 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RN-LOG-005, RN-COM-005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CU-04, CU-09, CU-11, CU-14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RNF-DAT-001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Sin acceso directo de clientes y un propietario por dato.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VT-03,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RNF-DAT-002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Prevención de estados contradictorios y doble asignación.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RN-LOG-002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CU-09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VT-04,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RNF-DAT-003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Archivos grandes fuera de bases y URLs firmadas.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RN-COM-004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CU-11, CU-13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VT-04,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RNF-DAT-004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Claves, índices, crecimiento, retención, respaldo y pruebas.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HE-DAT-001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VT-04, VT-07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10. Infraestructura e integración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RNF-INF-001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Ramas, incidencias, tablero, estándares y nombres.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HE-INF-001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Habilita todos los CU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VT-05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RNF-INF-002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Dependencias y variables sin secretos versionados.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HE-INF-001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Habilita todos los CU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VT-05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Dockerfile y Docker Compose con los tres almacenes desde el segundo parcial.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HE-INF-001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Habilita los CU distribuidos desde el segundo parcial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VT-05,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Distribución segura en Google Compute Engine.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HE-INF-001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Habilita todos los CU desplegados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VT-05,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RNF-INF-005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Integración y despliegue independientes.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HE-INF-001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Habilita todos los CU desplegados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VT-05,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RNF-INF-006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Tres procesos integrales y consulta entre clientes autorizados.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HE-INF-002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CU-05; CU-06 a 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VT-03, VT-05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RNF-INF-007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Detección y recuperación ante fallas parciales.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HE-INF-002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los CU integrados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RNF-INF-008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Pruebas proporcionales al riesgo de cada incremento.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HE-INF-002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 a VT-09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11. Seguridad y privacidad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RF-SEC-001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Emisión, renovación, rotación, expiración y revocación.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HU-WEB-002, HU-MOV-001, HU-DESK-001, 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VT-03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RF-SEC-002</w:t>
            </w:r>
            <w:r>
              <w:br/>
            </w:r>
            <w:r>
              <w:rPr>
                <w:sz w:val="18"/>
              </w:rPr>
              <w:t>Primer parcial</w:t>
            </w:r>
            <w:r>
              <w:br/>
            </w:r>
            <w:r>
              <w:rPr>
                <w:sz w:val="18"/>
              </w:rPr>
              <w:t>Asignación de perfiles y ámbitos sin facultad clínica implícita.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HU-WEB-003, 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RN-ACC-001, RN-ACC-002, RN-ACC-003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CU-02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RF-SEC-003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Registro de intentos, accesos y operaciones críticas.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HU-WEB-002, HU-WEB-016, 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RN-COM-005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CU-01, CU-09, CU-14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VT-02, VT-04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RNF-SEC-001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Hash y expiración iniciales; renovación y revocación con Redis desde el segundo parcial.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CU-01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RNF-SEC-002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Mínimo privilegio por rol, acción, recurso y ámbito.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RN-ACC-002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RNF-SEC-003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Consultas y entradas seguras, incluida protección XXE.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VT-03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RNF-SEC-004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Rate limiting, intentos fallidos y bloqueo temporal.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CU-01 y servicios protegidos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VT-07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RNF-SEC-005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Comunicaciones cifradas y secretos fuera del código.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VT-05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RNF-SEC-006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Minimización en interfaces, respuestas, logs y errores.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Transversal a CU-01 a 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RNF-SEC-007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Finalidad y periodo autorizados para ubicación y fotografías.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RN-LOG-006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CU-11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VT-02, VT-04, VT-08, VT-09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RNF-SEC-008</w:t>
            </w:r>
            <w:r>
              <w:br/>
            </w:r>
            <w:r>
              <w:rPr>
                <w:sz w:val="18"/>
              </w:rPr>
              <w:t>Transversal</w:t>
            </w:r>
            <w:r>
              <w:br/>
            </w:r>
            <w:r>
              <w:rPr>
                <w:sz w:val="18"/>
              </w:rPr>
              <w:t>Consentimiento, retención, eliminación e intercambio validados.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HE-SEC-001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CU-04 a CU-14 según el dato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VT-04, VT-09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12. Monitoreo y observabilidad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3311"/>
        <w:gridCol w:w="2520"/>
        <w:gridCol w:w="2664"/>
      </w:tblGrid>
      <w:tr>
        <w:trPr>
          <w:tblHeader w:val="true"/>
          <w:cantSplit/>
        </w:trPr>
        <w:tc>
          <w:tcPr>
            <w:tcW w:type="dxa" w:w="338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y alcance breve</w:t>
            </w:r>
          </w:p>
        </w:tc>
        <w:tc>
          <w:tcPr>
            <w:tcW w:type="dxa" w:w="2232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HU/HE</w:t>
            </w:r>
          </w:p>
        </w:tc>
        <w:tc>
          <w:tcPr>
            <w:tcW w:type="dxa" w:w="3311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RN aplicables</w:t>
            </w:r>
          </w:p>
        </w:tc>
        <w:tc>
          <w:tcPr>
            <w:tcW w:type="dxa" w:w="2520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 principal</w:t>
            </w:r>
          </w:p>
        </w:tc>
        <w:tc>
          <w:tcPr>
            <w:tcW w:type="dxa" w:w="266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RF-MON-001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Consulta periódica de proceso y dependencias.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HU-MON-001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RF-MON-002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Panel de estado, latencia, errores, versión y causa.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HU-MON-001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VT-06, VT-08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RF-MON-003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Historial de disponibilidad y cambios de estado.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HU-MON-002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VT-01, VT-04,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RF-MON-004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Avisos de caída, degradación y recuperación.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HU-MON-002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VT-01, 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RNF-MON-001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Estados diferenciados para proceso, dependencia y timeout.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HE-MON-001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VT-06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RNF-MON-002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Monitoreo no bloqueante para el negocio.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HE-MON-001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2" w:lineRule="auto"/>
            </w:pPr>
            <w:r>
              <w:rPr>
                <w:sz w:val="18"/>
              </w:rPr>
              <w:t>VT-06, VT-07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991B1B"/>
                <w:sz w:val="18"/>
              </w:rPr>
              <w:t>RNF-MON-003</w:t>
            </w:r>
            <w:r>
              <w:br/>
            </w:r>
            <w:r>
              <w:rPr>
                <w:sz w:val="18"/>
              </w:rPr>
              <w:t>Posterior</w:t>
            </w:r>
            <w:r>
              <w:br/>
            </w:r>
            <w:r>
              <w:rPr>
                <w:sz w:val="18"/>
              </w:rPr>
              <w:t>Logs y métricas centralizables, correlacionados y minimizados.</w:t>
            </w:r>
          </w:p>
        </w:tc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HE-MON-001</w:t>
            </w:r>
          </w:p>
        </w:tc>
        <w:tc>
          <w:tcPr>
            <w:tcW w:type="dxa" w:w="331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52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CU-15</w:t>
            </w:r>
          </w:p>
        </w:tc>
        <w:tc>
          <w:tcPr>
            <w:tcW w:type="dxa" w:w="266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VT-02, VT-05, VT-06</w:t>
            </w:r>
          </w:p>
        </w:tc>
      </w:tr>
    </w:tbl>
    <w:p>
      <w:pPr>
        <w:spacing w:after="0"/>
      </w:pPr>
    </w:p>
    <w:p>
      <w:pPr>
        <w:pStyle w:val="Heading1"/>
      </w:pPr>
      <w:r>
        <w:t>13. Control de integridad y cambios</w:t>
      </w:r>
    </w:p>
    <w:p>
      <w:r>
        <w:t>La línea base contiene una fila única para cada uno de los 53 RF y 41 RNF consolidados. Una relación indica cobertura documental y planificada; no demuestra por sí misma que la funcionalidad esté implementada o que una regla clínica haya sido autorizada.</w:t>
      </w:r>
    </w:p>
    <w:p>
      <w:r>
        <w:t>Cuando cambie un elemento se deberán revisar sus relaciones en ambos sentidos:</w:t>
      </w:r>
    </w:p>
    <w:p>
      <w:pPr>
        <w:spacing w:after="60"/>
        <w:ind w:left="360" w:hanging="259"/>
      </w:pPr>
      <w:r>
        <w:t>1. Un RF o RNF modificado deberá conservar o actualizar su HU/HE, reglas, caso de uso y verificación.</w:t>
      </w:r>
    </w:p>
    <w:p>
      <w:pPr>
        <w:spacing w:after="60"/>
        <w:ind w:left="360" w:hanging="259"/>
      </w:pPr>
      <w:r>
        <w:t>2. Una historia o regla modificada deberá revisarse contra todos los requerimientos que la citan.</w:t>
      </w:r>
    </w:p>
    <w:p>
      <w:pPr>
        <w:spacing w:after="60"/>
        <w:ind w:left="360" w:hanging="259"/>
      </w:pPr>
      <w:r>
        <w:t>3. Un caso de uso modificado deberá mantener consistencia con actores, permisos, arquitectura y criterios de aceptación.</w:t>
      </w:r>
    </w:p>
    <w:p>
      <w:pPr>
        <w:spacing w:after="60"/>
        <w:ind w:left="360" w:hanging="259"/>
      </w:pPr>
      <w:r>
        <w:t>4. La evidencia de una versión ejecutada no se sobrescribirá cuando cambie posteriormente una regla, contrato o algoritmo.</w:t>
      </w:r>
    </w:p>
    <w:p>
      <w:pPr>
        <w:spacing w:after="60"/>
        <w:ind w:left="360" w:hanging="259"/>
      </w:pPr>
      <w:r>
        <w:t>5. Los identificadores eliminados o sustituidos deberán conservarse en el historial de cambios para no crear referencias silenciosamente inválidas.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374151"/>
        <w:sz w:val="17"/>
      </w:rPr>
      <w:t xml:space="preserve">Equipo 01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 w:eastAsia="Arial"/>
      <w:color w:val="1F293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 w:eastAsia="Arial"/>
      <w:color w:val="1F293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integral</dc:title>
  <dc:subject>Proyecto 6: Red regional de bancos de sangre y donación de órganos</dc:subject>
  <dc:creator>Equipo 01</dc:creator>
  <cp:keywords/>
  <dc:description>Línea base documental del proyecto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