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8" w:space="6" w:color="9FBAD0"/>
        </w:pBdr>
      </w:pPr>
      <w:r>
        <w:t>Plan de trabajo del semestre</w:t>
      </w:r>
    </w:p>
    <w:p>
      <w:pPr>
        <w:spacing w:after="180"/>
      </w:pPr>
      <w:r>
        <w:rPr>
          <w:i/>
        </w:rPr>
        <w:t>Revisión documental — 14 de octubre de 2026: documento de referencia para el alcance y la planificación del semestre. Las fases y fechas originales expresan la secuencia prevista, no el estado de implementación. El portal integrado, los microservicios, PostgreSQL, MongoDB y Redis ya tienen operación local; Android, escritorio, Docker y GCP siguen pendientes. PROJECT_STATUS.md registra el avance comprobado. La arquitectura ejecutable se describe en documentation/markdowns/Arquitectura.md y la persistencia en documentation/markdowns/Datos_y_persistencia.md. El reporte integral de septiembre conserva una entrega anterior.</w:t>
      </w:r>
    </w:p>
    <w:tbl>
      <w:tblPr>
        <w:tblStyle w:val="TableGrid"/>
        <w:tblW w:type="dxa" w:w="10224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>Proyecto:</w:t>
            </w:r>
            <w:r>
              <w:rPr>
                <w:sz w:val="20"/>
              </w:rPr>
              <w:t xml:space="preserve"> Red regional de bancos de sangre y donación de órganos — Equipo 01.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Estado:</w:t>
            </w:r>
            <w:r>
              <w:rPr>
                <w:sz w:val="20"/>
              </w:rPr>
              <w:t xml:space="preserve"> plan semestral inicial para validación académica.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Fecha:</w:t>
            </w:r>
            <w:r>
              <w:rPr>
                <w:sz w:val="20"/>
              </w:rPr>
              <w:t xml:space="preserve"> 7 de septiembre de 2026.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Cobertura:</w:t>
            </w:r>
            <w:r>
              <w:rPr>
                <w:sz w:val="20"/>
              </w:rPr>
              <w:t xml:space="preserve"> primer parcial, segundo parcial, tercer parcial y entrega final.</w:t>
            </w:r>
          </w:p>
        </w:tc>
      </w:tr>
    </w:tbl>
    <w:p>
      <w:pPr>
        <w:spacing w:after="0"/>
      </w:pPr>
    </w:p>
    <w:p>
      <w:pPr>
        <w:pStyle w:val="Heading1"/>
      </w:pPr>
      <w:r>
        <w:t>1. Propósito y alcance</w:t>
      </w:r>
    </w:p>
    <w:p>
      <w:r>
        <w:t>El trabajo del semestre se organizará en incrementos ejecutables que conduzcan desde el análisis y el producto mínimo funcional hasta una plataforma integrada, desplegada, probada y documentada. El alcance comprende el sistema web empresarial, el módulo independiente de microservicios, la aplicación móvil Android, la aplicación de escritorio, los almacenes de datos, la infraestructura, la seguridad y el monitoreo.</w:t>
      </w:r>
    </w:p>
    <w:p>
      <w:r>
        <w:t>Cada parcial deberá cerrar con funcionamiento demostrable, persistencia real, pruebas y evidencia proporcional al incremento. Los diagramas, documentos, prototipos o interfaces estáticas apoyarán el desarrollo, pero no sustituirán la operación ejecutable exigida para cada etapa.</w:t>
      </w:r>
    </w:p>
    <w:p>
      <w:r>
        <w:t>La plataforma permanecerá como herramienta de coordinación y apoyo. Ningún incremento automatizará decisiones médicas o regulatorias que requieran intervención humana, ni utilizará reglas clínicas inventadas. Hasta contar con validación competente se emplearán datos ficticios y criterios demostrativos claramente identificados.</w:t>
      </w:r>
    </w:p>
    <w:p>
      <w:r>
        <w:t>El calendario operativo se regirá por los cuatro cortes oficiales. Las fechas de inicio y cierre se registrarán en el tablero una vez confirmadas por la institución, sin alterar las dependencias ni los criterios de logro.</w:t>
      </w:r>
    </w:p>
    <w:p>
      <w:pPr>
        <w:pStyle w:val="Heading1"/>
      </w:pPr>
      <w:r>
        <w:t>2. Marco de planeación</w:t>
      </w:r>
    </w:p>
    <w:p>
      <w:pPr>
        <w:pStyle w:val="Heading2"/>
      </w:pPr>
      <w:r>
        <w:t>2.1 Etapas del semestre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556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Periodo relativo</w:t>
            </w:r>
          </w:p>
        </w:tc>
        <w:tc>
          <w:tcPr>
            <w:tcW w:type="dxa" w:w="2556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Objetivo principal</w:t>
            </w:r>
          </w:p>
        </w:tc>
        <w:tc>
          <w:tcPr>
            <w:tcW w:type="dxa" w:w="2556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Incremento de salida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Primer parcial</w:t>
            </w:r>
          </w:p>
        </w:tc>
        <w:tc>
          <w:tcPr>
            <w:tcW w:type="dxa" w:w="2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Desde el inicio del semestre hasta el primer corte</w:t>
            </w:r>
          </w:p>
        </w:tc>
        <w:tc>
          <w:tcPr>
            <w:tcW w:type="dxa" w:w="2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Comprender el negocio, aprobar la arquitectura y ejecutar una base web funcional</w:t>
            </w:r>
          </w:p>
        </w:tc>
        <w:tc>
          <w:tcPr>
            <w:tcW w:type="dxa" w:w="2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Sistema web mínimo con identidad, tres perfiles iniciales, catálogos, inventario sanguíneo ficticio, PostgreSQL y auditoría, ejecutado localmente sin contenedores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Segundo parcial</w:t>
            </w:r>
          </w:p>
        </w:tc>
        <w:tc>
          <w:tcPr>
            <w:tcW w:type="dxa" w:w="2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Entre el primer y el segundo corte</w:t>
            </w:r>
          </w:p>
        </w:tc>
        <w:tc>
          <w:tcPr>
            <w:tcW w:type="dxa" w:w="2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Transformar la base inicial en una solución distribuida</w:t>
            </w:r>
          </w:p>
        </w:tc>
        <w:tc>
          <w:tcPr>
            <w:tcW w:type="dxa" w:w="2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Web ampliada, microservicios, aplicación móvil y aplicación de escritorio comunicados mediante JSON y XML, con JWT, Redis, MongoDB, Docker y contratos documentados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Tercer parcial</w:t>
            </w:r>
          </w:p>
        </w:tc>
        <w:tc>
          <w:tcPr>
            <w:tcW w:type="dxa" w:w="2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Entre el segundo y el tercer corte</w:t>
            </w:r>
          </w:p>
        </w:tc>
        <w:tc>
          <w:tcPr>
            <w:tcW w:type="dxa" w:w="2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Completar la integración, nube, seguridad, algoritmos y comportamiento bajo carga o fallos</w:t>
            </w:r>
          </w:p>
        </w:tc>
        <w:tc>
          <w:tcPr>
            <w:tcW w:type="dxa" w:w="2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Plataforma funcionalmente completa en GCP, monitoreo, buckets, algoritmos, tres flujos integrales y evidencia de rendimiento y resiliencia</w:t>
            </w:r>
          </w:p>
        </w:tc>
      </w:tr>
      <w:tr>
        <w:trPr>
          <w:cantSplit/>
        </w:trPr>
        <w:tc>
          <w:tcPr>
            <w:tcW w:type="dxa" w:w="2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Entrega final</w:t>
            </w:r>
          </w:p>
        </w:tc>
        <w:tc>
          <w:tcPr>
            <w:tcW w:type="dxa" w:w="2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Después del tercer corte y hasta la presentación final</w:t>
            </w:r>
          </w:p>
        </w:tc>
        <w:tc>
          <w:tcPr>
            <w:tcW w:type="dxa" w:w="2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Estabilizar, verificar y presentar profesionalmente la solución completa</w:t>
            </w:r>
          </w:p>
        </w:tc>
        <w:tc>
          <w:tcPr>
            <w:tcW w:type="dxa" w:w="2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Versión liberable, pruebas finales, documentación y manuales, video, presentación y demostración integral</w:t>
            </w:r>
          </w:p>
        </w:tc>
      </w:tr>
    </w:tbl>
    <w:p>
      <w:pPr>
        <w:spacing w:after="0"/>
      </w:pPr>
    </w:p>
    <w:p>
      <w:pPr>
        <w:pStyle w:val="Heading2"/>
      </w:pPr>
      <w:r>
        <w:t>2.2 Principios de ejecución</w:t>
      </w:r>
    </w:p>
    <w:p>
      <w:pPr>
        <w:pStyle w:val="ListBullet"/>
      </w:pPr>
      <w:r>
        <w:t>Se desarrollarán incrementos verticales pequeños que incluyan interfaz, lógica, persistencia, autorización, auditoría y prueba cuando corresponda.</w:t>
      </w:r>
    </w:p>
    <w:p>
      <w:pPr>
        <w:pStyle w:val="ListBullet"/>
      </w:pPr>
      <w:r>
        <w:t>El sistema web conservará sus funciones propias aunque las aplicaciones móvil o de escritorio no estén disponibles.</w:t>
      </w:r>
    </w:p>
    <w:p>
      <w:pPr>
        <w:pStyle w:val="ListBullet"/>
      </w:pPr>
      <w:r>
        <w:t>La aplicación móvil consumirá exclusivamente JSON y la aplicación de escritorio exclusivamente XML producido por los microservicios.</w:t>
      </w:r>
    </w:p>
    <w:p>
      <w:pPr>
        <w:pStyle w:val="ListBullet"/>
      </w:pPr>
      <w:r>
        <w:t>Ningún cliente accederá directamente a PostgreSQL, MongoDB, Redis o Google Cloud Storage.</w:t>
      </w:r>
    </w:p>
    <w:p>
      <w:pPr>
        <w:pStyle w:val="ListBullet"/>
      </w:pPr>
      <w:r>
        <w:t>Los contratos, la seguridad, la auditoría, el manejo de errores y las pruebas se trabajarán desde el incremento que los necesite y no se pospondrán hasta el cierre.</w:t>
      </w:r>
    </w:p>
    <w:p>
      <w:pPr>
        <w:pStyle w:val="ListBullet"/>
      </w:pPr>
      <w:r>
        <w:t>Sangre y órganos conservarán procesos, datos, estados y reglas diferenciados, aunque compartan componentes de infraestructura.</w:t>
      </w:r>
    </w:p>
    <w:p>
      <w:pPr>
        <w:pStyle w:val="ListBullet"/>
      </w:pPr>
      <w:r>
        <w:t>Los servicios opcionales de Google Cloud y el uso de clústeres solo se incorporarán cuando una necesidad de volumen, disponibilidad o procesamiento lo justifique.</w:t>
      </w:r>
    </w:p>
    <w:p>
      <w:pPr>
        <w:pStyle w:val="ListBullet"/>
      </w:pPr>
      <w:r>
        <w:t>MongoDB, Redis y la contenerización con Docker se estudiarán de forma introductoria durante el primer parcial, pero su diseño detallado, configuración y uso funcional comenzarán en el segundo parcial. PostgreSQL permanecerá como almacenamiento real del producto mínimo.</w:t>
      </w:r>
    </w:p>
    <w:p>
      <w:pPr>
        <w:pStyle w:val="ListBullet"/>
      </w:pPr>
      <w:r>
        <w:t>Cada paquete de trabajo conserva una persona responsable principal identificada en este plan; una persona revisora se asignará en el tablero antes de comenzar. Todos los integrantes deberán aportar evidencia de participación.</w:t>
      </w:r>
    </w:p>
    <w:p>
      <w:pPr>
        <w:pStyle w:val="Heading1"/>
      </w:pPr>
      <w:r>
        <w:t>3. Plan de trabajo por etapa</w:t>
      </w:r>
    </w:p>
    <w:p>
      <w:pPr>
        <w:pStyle w:val="Heading2"/>
      </w:pPr>
      <w:r>
        <w:t>3.1 Primer parcial — Análisis, arquitectura y producto mínimo funcional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rPr>
          <w:tblHeader w:val="true"/>
          <w:cantSplit/>
        </w:trPr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Paquete de trabajo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Responsable principal y frente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Dependencias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Evidencia y criterio de cierre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P1-01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Aprobar el análisis, RF/RNF, historias, reglas y matriz de perfiles; completar casos de uso principales y matriz de trazabilidad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Alejandra Morón — Análisis funcional y documentación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Borradores vigentes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Documentos coherentes, IDs estables, criterios verificables y relaciones sin referencias inexistentes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P1-02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Diseñar contexto, contenedores, componentes, despliegue, red, secuencias, comunicación, autenticación y almacenamiento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Galia Sejudo — Arquitectura e integración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P1-01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Diagramas revisados y justificación de web, microservicios, datos, contenedores futuros, Compute Engine y posibles procesos de clúster, distinguiendo la ejecución local del primer parcial de la arquitectura objetivo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P1-03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Completar el diseño conceptual, lógico y físico inicial de PostgreSQL y registrar las fronteras conceptuales con los almacenes posteriores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Victor Berlanga — Datos y arquitectura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P1-01, P1-02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Claves, restricciones, catálogos, auditoría y datos ficticios para PostgreSQL; distribución posterior de datos y archivos identificada sin diseñar ni implementar todavía MongoDB o Redis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P1-04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Elaborar y revisar prototipos del sitio público, acceso, paneles iniciales, instituciones, tipos de componentes, inventario y auditoría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Alejandra Morón — Experiencia web y análisis funcional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P1-01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Prototipos responsive alineados con permisos y criterios de aceptación, sin presentarlos como funcionalidad terminada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P1-05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Configurar repositorio, ramas, incidencias, tablero, convenciones, dependencias y variables de entorno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Galia Sejudo — Desarrollo y operación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P1-02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Entorno local reproducible para el sistema web y PostgreSQL sin contenedores; secretos fuera del repositorio y procedimientos documentados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P1-06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Implementar la base web con Python, Flask, Jinja2, HTML5, CSS3 y JavaScript: página pública, inicio y cierre de sesión, JWT, menús y panel básico por perfil inicial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Alberto Reyna — Sistema web y seguridad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P1-03, P1-04, P1-05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Administrador, Operador de banco de sangre y Auditor acceden solo a su menú y ámbito; la interfaz es responsive y maneja errores de forma segura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P1-07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Implementar instituciones, tipos de componentes sanguíneos y gestión inicial del inventario ficticio con caducidad demostrativa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Alberto Reyna — Sistema web y datos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P1-03, P1-06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Altas y consultas reales en PostgreSQL, filtros básicos, cambios de estado controlados, historial y auditoría con datos ficticios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P1-08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Ejecutar pruebas, preparar datos iniciales y realizar la demostración técnica en el entorno local documentado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Alberto Reyna — Calidad e integración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P1-05, P1-06, P1-07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Inicio de sesión, acceso por perfil, dos catálogos, proceso de inventario, consulta, persistencia en PostgreSQL y auditoría demostrados sin maquetas ni contenedores</w:t>
            </w:r>
          </w:p>
        </w:tc>
      </w:tr>
    </w:tbl>
    <w:p>
      <w:pPr>
        <w:spacing w:after="0"/>
      </w:pPr>
    </w:p>
    <w:p>
      <w:r>
        <w:t>El primer parcial se considerará cerrado cuando exista una base técnica ejecutable y no solamente documentación. MongoDB, Redis y los contenedores Docker se limitarán en esta etapa a la investigación introductoria y a su representación como elementos futuros de la arquitectura. Matching clínico, HLA, ranking, órganos, optimización geográfica, aplicación móvil y aplicación de escritorio también permanecerán fuera de este incremento funcional, pero dentro de la arquitectura y del plan semestral.</w:t>
      </w:r>
    </w:p>
    <w:p>
      <w:pPr>
        <w:pStyle w:val="Heading2"/>
      </w:pPr>
      <w:r>
        <w:t>3.2 Segundo parcial — Componentes distribuidos y contratos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rPr>
          <w:tblHeader w:val="true"/>
          <w:cantSplit/>
        </w:trPr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Paquete de trabajo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Responsable principal y frente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Dependencias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Evidencia y criterio de cierre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P2-01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Confirmar Java o Kotlin para Android, la tecnología de escritorio, los límites de los microservicios y la estrategia de contenedores Docker; definir contratos versionados JSON y XML, esquemas XSD, errores y autenticación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Galia Sejudo — Arquitectura e integración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Cierre P1, reglas y modelos aprobados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Decisiones registradas, contratos de solicitud y respuesta, ejemplos de ambos formatos, criterios de compatibilidad hacia atrás y distribución local de contenedores definida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P2-02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Implementar con Flask y REST versionado los microservicios necesarios para los flujos priorizados, cada uno con responsabilidad y contenedor propios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Victor Berlanga — Microservicios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P2-01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Rutas versionadas, validación, JSON y XML, códigos HTTP, correlación, logs, límites de consumo, OpenAPI y endpoints de salud por servicio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P2-03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Implementar autenticación y autorización comunes con JWT y Redis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Galia Sejudo — Seguridad y microservicios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P2-01, P2-02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Inicio, renovación, expiración, revocación, permisos y ámbitos validados en peticiones protegidas; intentos relevantes auditados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P2-04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Ampliar el sistema web con perfiles posteriores, procesos autorizados, búsquedas, filtros, paginación, reportes, gráficas Highcharts, archivos, notificaciones e historial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Alejandra Morón — Sistema web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P2-01, P2-02, P2-03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Procesos persistentes y autorizados; el sistema web continúa operando aunque los clientes no estén disponibles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P2-05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Construir la aplicación móvil para registro preliminar, campañas, citas y avisos del Donante, y para escaneo, recolección, entrega, ubicación y evidencia del Personal de traslado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Galia Sejudo — Aplicación móvil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P2-01, P2-02, P2-03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Consumo exclusivo de JSON y al menos cuatro microservicios; sesión segura, menú por rol, formularios, conectividad, cierre y dos capacidades pertinentes del dispositivo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P2-06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Construir la aplicación de escritorio para unidades, pruebas, inventario, revisión autorizada, etiquetas, custodia y reportes del Operador de banco de sangre y el Coordinador regional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Alejandra Morón — Aplicación de escritorio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P2-01, P2-02, P2-03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Consumo exclusivo de XML validado con XSD y al menos cuatro microservicios; captura, consulta, filtros, exportación e impresión dentro de un proceso distinto al móvil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P2-07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Completar los diseños y poner en operación MongoDB y Redis; configurar Docker Compose para el entorno distribuido local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Victor Berlanga — Datos y microservicios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P1-03, P2-01, P2-02, P2-03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MongoDB demuestra inserción, consulta, actualización, agregación, índices y filtros; Redis demuestra sesiones, revocación, caché, límites, contadores, temporales y bloqueos aplicables; PostgreSQL, MongoDB, Redis y los componentes implementados se ejecutan mediante la configuración de contenedores documentada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P2-08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Integrar los cuatro productos, ejecutar pruebas unitarias y de integración iniciales y actualizar Swagger y el manual técnico parcial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Victor Berlanga — Calidad e integración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P2-02 a P2-07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Un proceso cruza clientes y servicios, valida JWT y Redis, persiste datos y puede consultarse en componentes autorizados mediante JSON o XML</w:t>
            </w:r>
          </w:p>
        </w:tc>
      </w:tr>
    </w:tbl>
    <w:p>
      <w:pPr>
        <w:spacing w:after="0"/>
      </w:pPr>
    </w:p>
    <w:p>
      <w:r>
        <w:t>El segundo parcial se considerará cerrado cuando web, microservicios, móvil y escritorio existan y se comuniquen mediante contratos explícitos, y cuando MongoDB, Redis y los contenedores Docker se utilicen de forma funcional y reproducible. La cantidad de microservicios se definirá según responsabilidades reales y se mantendrá dentro del rango recomendado cuando la separación del dominio lo justifique.</w:t>
      </w:r>
    </w:p>
    <w:p>
      <w:r>
        <w:t>El catálogo funcional de referencia comprende donantes, receptores, inventario, compatibilidad, priorización, geografía, transporte, alertas, cadena de custodia y auditoría. Sus límites, propietarios de datos y dependencias se validarán antes de la implementación. La ampliación web cubrirá gradualmente donantes, receptores, órganos, solicitudes, estudios, asignaciones, traslados, custodia, panel regional, archivos y reportes conforme sus reglas estén validadas.</w:t>
      </w:r>
    </w:p>
    <w:p>
      <w:pPr>
        <w:pStyle w:val="Heading2"/>
      </w:pPr>
      <w:r>
        <w:t>3.3 Tercer parcial — Nube, integración completa, algoritmos y carga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rPr>
          <w:tblHeader w:val="true"/>
          <w:cantSplit/>
        </w:trPr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Paquete de trabajo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Responsable principal y frente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Dependencias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Evidencia y criterio de cierre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P3-01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Diseñar y desplegar la distribución en Google Cloud Platform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Alberto Reyna — Nube y operación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Cierre P2, decisiones de infraestructura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Google Compute Engine, redes privadas, firewall, puertos mínimos, variables, credenciales protegidas, HTTPS cuando sea posible y logs centralizables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P3-02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Configurar Google Cloud Storage para evidencias, documentos, reportes e imágenes autorizadas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Galia Sejudo — Nube, datos y seguridad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P3-01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Objetos privados con metadatos, hash, privacidad y referencias en base de datos; carga y consulta mediante URLs firmadas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P3-03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Completar health checks y el servicio central de monitoreo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Alejandra Morón — Monitoreo y microservicios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P2-02, P3-01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Estados de proceso, PostgreSQL, MongoDB, Redis y Storage; latencia, versión, errores, historial y alertas visibles sin detener los servicios supervisados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P3-04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Completar el endurecimiento de seguridad de extremo a extremo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Alberto Reyna — Seguridad y calidad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P2-03, P3-01, P3-02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Permisos por recurso, rate limiting, validación JSON, XML/XSD y archivos, protección XXE, secretos, auditoría, ocultamiento y errores seguros verificados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P3-05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Implementar y documentar las capacidades algorítmicas priorizadas del dominio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Alberto Reyna — Algoritmos, datos y análisis funcional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Reglas clínicas o demostrativas validadas, P2-07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Matching sanguíneo y HLA, ranking con urgencia, tiempo y distancia, pronóstico de caducidad, balanceo e inconsistencias se organizan en incrementos explicables; al menos un algoritmo no trivial queda integrado, medido y probado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P3-06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Generar el conjunto de datos de volumen y ejecutar mediciones y pruebas Locust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Galia Sejudo — Calidad, datos y rendimiento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P3-03, P3-05 y flujos estables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Inserción, consulta, índices, caché, recursos, comportamiento con y sin Redis, usuarios concurrentes, RPS, media, p95, p99, errores, saturación y recuperación documentados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P3-07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Completar al menos tres flujos integrales de principio a fin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Victor Berlanga — Integración de productos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P3-01 a P3-05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Cada flujo involucra usuario, cliente, microservicios, Redis, PostgreSQL o MongoDB, auditoría, notificación y visualización; incluye bucket cuando maneja archivos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P3-08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Ejecutar pruebas de fallos y realizar la demostración en la nube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Alberto Reyna — Calidad, monitoreo y operación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P3-03, P3-04, P3-06, P3-07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Se detectan y registran caídas, dependencias inaccesibles y timeouts; se informa sin corrupción y la operación se recupera al restablecerse el servicio</w:t>
            </w:r>
          </w:p>
        </w:tc>
      </w:tr>
    </w:tbl>
    <w:p>
      <w:pPr>
        <w:spacing w:after="0"/>
      </w:pPr>
    </w:p>
    <w:p>
      <w:r>
        <w:t>El tercer parcial cerrará con la plataforma funcionalmente completa. Los servicios opcionales, un clúster o procesamiento distribuido solo se añadirán cuando las mediciones demuestren que resuelven una necesidad concreta.</w:t>
      </w:r>
    </w:p>
    <w:p>
      <w:pPr>
        <w:pStyle w:val="Heading2"/>
      </w:pPr>
      <w:r>
        <w:t>3.4 Entrega final — Estabilización y presentación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rPr>
          <w:tblHeader w:val="true"/>
          <w:cantSplit/>
        </w:trPr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Paquete de trabajo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Responsable principal y frente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Dependencias</w:t>
            </w:r>
          </w:p>
        </w:tc>
        <w:tc>
          <w:tcPr>
            <w:tcW w:type="dxa" w:w="2044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Evidencia y criterio de cierre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EF-01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Congelar nuevas funciones y clasificar los defectos funcionales, de integración, seguridad, datos, sincronización, archivos y rendimiento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Victor Berlanga — Coordinación y calidad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Cierre P3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Lista priorizada sin módulos faltantes disfrazados de defectos; responsables y evidencia definidos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EF-02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Corregir defectos y completar pruebas unitarias, integración, sistema, regresión, contratos, seguridad, carga, estrés, recuperación, roles, archivos, datos masivos y usabilidad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Alejandra Morón — Todos los frentes técnicos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EF-01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Pruebas reproducibles, defectos críticos cerrados y resultados conservados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EF-03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Optimizar consultas, índices, caché, consumo, interfaces y recuperación sin alterar reglas aprobadas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Alberto Reyna — Datos, calidad y experiencia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EF-02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Comparación antes y después, ausencia de regresiones y límites conocidos documentados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EF-04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Completar expediente técnico, manuales, scripts, Swagger, evidencias de GCP, bitácora de participación, registro de incidencias y paquete de instalación o despliegue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Alejandra Morón — Documentación y operación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EF-02, EF-03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Documentación consistente con la versión liberada y procedimientos reproducibles</w:t>
            </w:r>
          </w:p>
        </w:tc>
      </w:tr>
      <w:tr>
        <w:trPr>
          <w:cantSplit/>
        </w:trPr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EF-05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Preparar video, presentación, ensayo de la demostración integral y entrega de código, aplicaciones, contenedores y evidencias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Galia Sejudo — Equipo completo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EF-04</w:t>
            </w:r>
          </w:p>
        </w:tc>
        <w:tc>
          <w:tcPr>
            <w:tcW w:type="dxa" w:w="20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Demostración de web, móvil, escritorio, microservicios, seguridad, datos, algoritmo, nube, monitoreo, carga y recuperación; participación de los cuatro integrantes</w:t>
            </w:r>
          </w:p>
        </w:tc>
      </w:tr>
    </w:tbl>
    <w:p>
      <w:pPr>
        <w:spacing w:after="0"/>
      </w:pPr>
    </w:p>
    <w:p>
      <w:r>
        <w:t xml:space="preserve">El despliegue en el entorno institucional denominado </w:t>
      </w:r>
      <w:r>
        <w:rPr>
          <w:rFonts w:ascii="Menlo" w:hAnsi="Menlo" w:eastAsia="Menlo"/>
          <w:sz w:val="18"/>
        </w:rPr>
        <w:t>ubiquitous</w:t>
      </w:r>
      <w:r>
        <w:t xml:space="preserve"> quedará condicionado a la disponibilidad de acceso y especificaciones técnicas, además del despliegue en GCP. La entrega final no se utilizará para desarrollar componentes que debieron quedar completos durante el tercer parcial.</w:t>
      </w:r>
    </w:p>
    <w:p>
      <w:pPr>
        <w:pStyle w:val="Heading1"/>
        <w:pageBreakBefore/>
      </w:pPr>
      <w:r>
        <w:t>4. Flujos integrales objetivo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40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Flujo</w:t>
            </w:r>
          </w:p>
        </w:tc>
        <w:tc>
          <w:tcPr>
            <w:tcW w:type="dxa" w:w="340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Componentes y evidencia esperada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FI-01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Registro preliminar de donante, campaña, cita y aviso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Donante en Android mediante JSON; servicios de donantes, alertas y procesos relacionados; JWT y Redis; persistencia autorizada; auditoría; consulta web del resultado por personal permitido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FI-02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Solicitud, compatibilidad, priorización y decisión humana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Personal médico o Coordinador en web o escritorio; servicios de receptores, inventario, compatibilidad, priorización y geografía; explicación versionada; persistencia; auditoría; alerta y visualización sin decisión clínica automática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991B1B"/>
                <w:sz w:val="18"/>
              </w:rPr>
              <w:t>FI-03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Asignación, traslado y cadena de custodia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Coordinador en web o escritorio, Personal de traslado en Android, servicios de transporte y custodia, JSON móvil y XML de escritorio, Redis, datos transaccionales, evidencia en bucket, alertas, auditoría y consulta final autorizada</w:t>
            </w:r>
          </w:p>
        </w:tc>
      </w:tr>
    </w:tbl>
    <w:p>
      <w:pPr>
        <w:spacing w:after="0"/>
      </w:pPr>
    </w:p>
    <w:p>
      <w:r>
        <w:t>Los flujos podrán ajustarse si cambia una regla aprobada, pero deberán conservar la integración mínima exigida y la separación de responsabilidades entre clientes, servicios y almacenes.</w:t>
      </w:r>
    </w:p>
    <w:p>
      <w:pPr>
        <w:pStyle w:val="Heading1"/>
        <w:pageBreakBefore/>
      </w:pPr>
      <w:r>
        <w:t>5. Dependencias críticas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Dependencia</w:t>
            </w:r>
          </w:p>
        </w:tc>
        <w:tc>
          <w:tcPr>
            <w:tcW w:type="dxa" w:w="340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Habilita</w:t>
            </w:r>
          </w:p>
        </w:tc>
        <w:tc>
          <w:tcPr>
            <w:tcW w:type="dxa" w:w="340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Aprobación de análisis, requisitos, historias, reglas y permisos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Casos de uso, interfaces, datos y aceptación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No implementar una interpretación dudosa sin registrar y resolver el cambio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Límites de componentes y propietarios de datos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Modelos, microservicios y transacciones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Evitar duplicación de reglas, acceso directo desde clientes y dependencias circulares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Modelo de identidad, JWT, sesión y autorización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Web, móvil, escritorio y APIs protegidas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Definir contrato común antes de integrar los clientes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Contratos JSON, XML y XSD versionados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Desarrollo paralelo de móvil y escritorio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Ejecutar pruebas de contrato y mantener ejemplos equivalentes de ambos formatos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Reglas clínicas, regulatorias o demostrativas validadas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Compatibilidad, priorización, caducidad y asignación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Bloquear uso real de criterios pendientes y conservar versión y explicación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Integración local estable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Despliegue en GCP y pruebas de fallos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Resolver primero errores reproducibles en contenedores locales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Flujos funcionales completos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Datos de volumen, Locust y optimización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No medir endpoints aislados como sustituto de escenarios reales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Cierre funcional del tercer parcial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Estabilización final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No aceptar nuevas funciones salvo corrección indispensable y aprobada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6. Frentes de responsabilidad y participación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Frente</w:t>
            </w:r>
          </w:p>
        </w:tc>
        <w:tc>
          <w:tcPr>
            <w:tcW w:type="dxa" w:w="340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Responsabilidad principal</w:t>
            </w:r>
          </w:p>
        </w:tc>
        <w:tc>
          <w:tcPr>
            <w:tcW w:type="dxa" w:w="340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Evidencia de participación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Coordinación y análisis funcional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Alcance, prioridades, criterios, reglas, tablero, riesgos y control de cambios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Decisiones, revisiones, tareas cerradas y participación en demostraciones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Arquitectura e integración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Límites, diagramas, contratos, secuencias, dependencias y coherencia entre componentes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Diagramas versionados, contratos revisados y pruebas integradas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Sistema web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Portal público y privado, perfiles, procesos, paneles, reportes y persistencia web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Commits, revisiones, pruebas y evidencia ejecutable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Microservicios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APIs, lógica de dominio, JSON/XML, salud, errores, auditoría y despliegue independiente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Servicios ejecutables, OpenAPI, pruebas y logs controlados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Aplicaciones cliente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Android y escritorio, capacidades del dispositivo, XML/XSD, manejo de red e interfaces por perfil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Aplicaciones instalables o ejecutables, pruebas y demostración de flujos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Datos y nube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PostgreSQL, MongoDB, Redis, Storage, índices, respaldos, redes y despliegue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Modelos, scripts, mediciones, contenedores y evidencia de GCP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Seguridad y calidad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Autenticación, autorización, validaciones, pruebas, carga, fallos, usabilidad y defectos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Casos ejecutados, resultados, incidencias y verificaciones de recuperación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Documentación y presentación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Expediente, manuales, evidencias, video, presentación y bitácora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Documentos consistentes con la versión, material audiovisual y participación registrada</w:t>
            </w:r>
          </w:p>
        </w:tc>
      </w:tr>
    </w:tbl>
    <w:p>
      <w:pPr>
        <w:spacing w:after="0"/>
      </w:pPr>
    </w:p>
    <w:p>
      <w:r>
        <w:t>El equipo está integrado por Alejandra Morón, Alberto Reyna, Galia Sejudo y Victor Berlanga. Los responsables principales de cada paquete se indican en este plan; la persona revisora se asignará en el tablero antes de comenzar. Una misma persona podrá participar en varios frentes y la bitácora deberá mostrar contribuciones de los cuatro integrantes en construcción, revisión, pruebas, documentación o demostración.</w:t>
      </w:r>
    </w:p>
    <w:p>
      <w:pPr>
        <w:pStyle w:val="Heading1"/>
        <w:pageBreakBefore/>
      </w:pPr>
      <w:r>
        <w:t>7. Criterio común de terminado</w:t>
      </w:r>
    </w:p>
    <w:p>
      <w:r>
        <w:t>Un paquete de trabajo se considerará terminado únicamente cuando:</w:t>
      </w:r>
    </w:p>
    <w:p>
      <w:pPr>
        <w:spacing w:after="60"/>
        <w:ind w:left="360" w:hanging="259"/>
      </w:pPr>
      <w:r>
        <w:t>1. Cumpla sus criterios de aceptación y no dependa de datos simulados no identificados.</w:t>
      </w:r>
    </w:p>
    <w:p>
      <w:pPr>
        <w:spacing w:after="60"/>
        <w:ind w:left="360" w:hanging="259"/>
      </w:pPr>
      <w:r>
        <w:t>2. Tenga código, configuración o documento versionado y revisado por otra persona del equipo.</w:t>
      </w:r>
    </w:p>
    <w:p>
      <w:pPr>
        <w:spacing w:after="60"/>
        <w:ind w:left="360" w:hanging="259"/>
      </w:pPr>
      <w:r>
        <w:t>3. Incluya pruebas proporcionales al riesgo y conserve sus resultados.</w:t>
      </w:r>
    </w:p>
    <w:p>
      <w:pPr>
        <w:spacing w:after="60"/>
        <w:ind w:left="360" w:hanging="259"/>
      </w:pPr>
      <w:r>
        <w:t>4. Aplique autenticación, autorización, validación, auditoría y manejo seguro de errores cuando correspondan.</w:t>
      </w:r>
    </w:p>
    <w:p>
      <w:pPr>
        <w:spacing w:after="60"/>
        <w:ind w:left="360" w:hanging="259"/>
      </w:pPr>
      <w:r>
        <w:t>5. Actualice contratos, modelos, diagramas y manuales afectados.</w:t>
      </w:r>
    </w:p>
    <w:p>
      <w:pPr>
        <w:spacing w:after="60"/>
        <w:ind w:left="360" w:hanging="259"/>
      </w:pPr>
      <w:r>
        <w:t>6. Pueda ejecutarse o reproducirse mediante las instrucciones y contenedores definidos.</w:t>
      </w:r>
    </w:p>
    <w:p>
      <w:pPr>
        <w:spacing w:after="60"/>
        <w:ind w:left="360" w:hanging="259"/>
      </w:pPr>
      <w:r>
        <w:t>7. No exponga secretos, tokens, datos clínicos, ubicaciones o evidencias innecesarias.</w:t>
      </w:r>
    </w:p>
    <w:p>
      <w:pPr>
        <w:spacing w:after="60"/>
        <w:ind w:left="360" w:hanging="259"/>
      </w:pPr>
      <w:r>
        <w:t>8. Cuente con evidencia verificable para la demostración del parcial.</w:t>
      </w:r>
    </w:p>
    <w:p>
      <w:pPr>
        <w:pStyle w:val="Heading1"/>
      </w:pPr>
      <w:r>
        <w:t>8. Riesgos del plan y respuesta prevista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340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340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Respuesta prevista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Alcance mayor que la capacidad académica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Componentes incompletos o integración tardía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Priorizar cortes verticales, respetar el MVP y completar funcionalidad antes del cierre del tercer parcial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Reglas clínicas o regulatorias no validadas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Resultados incorrectos o afirmaciones indebidas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Usar datos y reglas demostrativas identificadas; mantener revisión humana y bloquear uso real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Contratos JSON y XML divergentes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Móvil y escritorio interpretan resultados distintos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Definir una semántica común, versionar contratos y automatizar pruebas JSON y XSD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Modelo de datos prematuro o duplicado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Migraciones costosas e inconsistencias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Aprobar propietarios, claves y ciclos de vida antes de consolidar el modelo físico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Seguridad agregada tardíamente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Retrabajo y exposición de información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Incorporar identidad, permisos, validación, auditoría y secretos desde el primer incremento pertinente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Integración acumulada al final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Fallos difíciles de aislar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Integrar de forma continua y demostrar un flujo creciente en cada parcial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Dependencia de servicios o créditos de nube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Bloqueo del despliegue o costos inesperados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Mantener entorno local reproducible, controlar consumo y usar servicios opcionales solo con justificación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Volumen o rendimiento sin objetivos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Mediciones sin conclusión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Definir conjunto, carga y umbrales antes de Locust y comparar índices y caché con una línea base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Participación desigual del equipo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Riesgo académico y conocimiento concentrado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Asignar responsable y revisor, rotar revisiones y conservar bitácora de contribuciones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Entrega final utilizada para funciones pendientes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Falta de tiempo para estabilizar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Aplicar cierre funcional en el tercer parcial y congelar nuevas funciones al iniciar la etapa final</w:t>
            </w:r>
          </w:p>
        </w:tc>
      </w:tr>
    </w:tbl>
    <w:p>
      <w:pPr>
        <w:spacing w:after="0"/>
      </w:pPr>
    </w:p>
    <w:p>
      <w:pPr>
        <w:pStyle w:val="Heading1"/>
      </w:pPr>
      <w:r>
        <w:t>9. Seguimiento y evidencia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40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Forma de seguimiento</w:t>
            </w:r>
          </w:p>
        </w:tc>
        <w:tc>
          <w:tcPr>
            <w:tcW w:type="dxa" w:w="3408"/>
            <w:vAlign w:val="center"/>
            <w:shd w:fill="991B1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Criterio por corte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Paquetes terminados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Paquetes aceptados respecto de los planeados para la etapa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Todos los paquetes obligatorios del corte cumplen el criterio común de terminado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Cobertura de aceptación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Historias y criterios vinculados con pruebas o evidencia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No existen funciones demostradas sin criterio y resultado verificable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Calidad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Pruebas aprobadas, fallidas y defectos por severidad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No quedan defectos críticos abiertos al cerrar un parcial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Integración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Flujos que atraviesan componentes autorizados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Un proceso en el primer parcial, integración distribuida en el segundo y al menos tres flujos en el tercero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Seguridad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Casos de autenticación, autorización, validación, auditoría y secretos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Los controles aplicables al incremento tienen evidencia positiva y negativa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Rendimiento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RPS, media, p95, p99, errores, saturación y recuperación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Objetivos definidos antes de la prueba y resultados explicados, no solo capturados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Participación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Tareas, revisiones, pruebas, documentación y demostraciones por integrante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Los cuatro integrantes conservan evidencia de contribución durante el semestre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Documentación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Artefactos actualizados frente a cambios del producto</w:t>
            </w:r>
          </w:p>
        </w:tc>
        <w:tc>
          <w:tcPr>
            <w:tcW w:type="dxa" w:w="34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4F6"/>
          </w:tcPr>
          <w:p>
            <w:pPr>
              <w:spacing w:after="0" w:line="259" w:lineRule="auto"/>
            </w:pPr>
            <w:r>
              <w:rPr>
                <w:sz w:val="18"/>
              </w:rPr>
              <w:t>La documentación entregada describe la versión que realmente se demuestra</w:t>
            </w:r>
          </w:p>
        </w:tc>
      </w:tr>
    </w:tbl>
    <w:p>
      <w:pPr>
        <w:spacing w:after="0"/>
      </w:pPr>
    </w:p>
    <w:p>
      <w:pPr>
        <w:pStyle w:val="Heading1"/>
      </w:pPr>
      <w:r>
        <w:t>10. Control del plan</w:t>
      </w:r>
    </w:p>
    <w:p>
      <w:r>
        <w:t>El tablero de tareas, el registro de incidencias y la bitácora de participación se revisarán al menos una vez por semana y antes de cada demostración. Cada paquete deberá mantener sincronizados el responsable principal indicado en este plan, la persona revisora, las dependencias, el criterio de aceptación, la evidencia y el estado.</w:t>
      </w:r>
    </w:p>
    <w:p>
      <w:r>
        <w:t>Los cambios de alcance se evaluarán por su efecto en requisitos, historias, reglas, permisos, arquitectura, datos, contratos, pruebas y manuales. Un cambio clínico o normativo no se incorporará como regla autorizada sin fuente y aprobación competentes. Si aparece una desviación de calendario, se reordenarán tareas o servicios opcionales antes de comprometer la seguridad, la trazabilidad o los entregables obligatorios.</w:t>
      </w:r>
    </w:p>
    <w:p>
      <w:r>
        <w:t>Al concluir cada parcial se realizará una revisión de cierre: funcionamiento ejecutable, integración alcanzada, controles aplicados, pruebas realizadas, despliegue reproducible, documentación actualizada y participación del equipo. El resultado de esa revisión establecerá la línea base del siguiente incremento.</w:t>
      </w:r>
    </w:p>
    <w:sectPr w:rsidR="00FC693F" w:rsidRPr="0006063C" w:rsidSect="00034616">
      <w:footerReference w:type="default" r:id="rId9"/>
      <w:pgSz w:w="12240" w:h="15840"/>
      <w:pgMar w:top="979" w:right="1008" w:bottom="979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374151"/>
        <w:sz w:val="17"/>
      </w:rPr>
      <w:t xml:space="preserve">Equipo 01  ·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991B1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7F1D1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contextualSpacing/>
    </w:pPr>
    <w:rPr>
      <w:rFonts w:ascii="Arial" w:hAnsi="Arial" w:eastAsia="Arial"/>
      <w:color w:val="1F29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contextualSpacing/>
    </w:pPr>
    <w:rPr>
      <w:rFonts w:ascii="Arial" w:hAnsi="Arial" w:eastAsia="Arial"/>
      <w:color w:val="1F29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trabajo del semestre</dc:title>
  <dc:subject>Proyecto 6: Red regional de bancos de sangre y donación de órganos</dc:subject>
  <dc:creator>Equipo 01</dc:creator>
  <cp:keywords/>
  <dc:description>Línea base documental del proyecto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