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18" w:space="6" w:color="9FBAD0"/>
        </w:pBdr>
      </w:pPr>
      <w:r>
        <w:t>Requerimientos funcionales y no funcionales</w:t>
      </w:r>
    </w:p>
    <w:p>
      <w:pPr>
        <w:spacing w:after="180"/>
      </w:pPr>
      <w:r>
        <w:rPr>
          <w:i/>
        </w:rPr>
        <w:t>Revisión documental — 14 de octubre de 2026: documento de referencia para el alcance y la planificación del semestre. Las fases y fechas originales expresan la secuencia prevista, no el estado de implementación. El portal integrado, los microservicios, PostgreSQL, MongoDB y Redis ya tienen operación local; Android, escritorio, Docker y GCP siguen pendientes. PROJECT_STATUS.md registra el avance comprobado. La arquitectura ejecutable se describe en documentation/markdowns/Arquitectura.md y la persistencia en documentation/markdowns/Datos_y_persistencia.md. El reporte integral de septiembre conserva una entrega anterior.</w:t>
      </w:r>
    </w:p>
    <w:tbl>
      <w:tblPr>
        <w:tblStyle w:val="TableGrid"/>
        <w:tblW w:type="dxa" w:w="10224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sz w:val="20"/>
              </w:rPr>
              <w:t>Proyecto:</w:t>
            </w:r>
            <w:r>
              <w:rPr>
                <w:sz w:val="20"/>
              </w:rPr>
              <w:t xml:space="preserve"> Red regional de bancos de sangre y donación de órganos — Equipo 01.</w:t>
            </w:r>
          </w:p>
          <w:p>
            <w:pPr>
              <w:spacing w:after="40"/>
            </w:pPr>
            <w:r>
              <w:rPr>
                <w:b/>
                <w:sz w:val="20"/>
              </w:rPr>
              <w:t>Estado:</w:t>
            </w:r>
            <w:r>
              <w:rPr>
                <w:sz w:val="20"/>
              </w:rPr>
              <w:t xml:space="preserve"> borrador consolidado para validación académica.</w:t>
            </w:r>
          </w:p>
          <w:p>
            <w:pPr>
              <w:spacing w:after="40"/>
            </w:pPr>
            <w:r>
              <w:rPr>
                <w:b/>
                <w:sz w:val="20"/>
              </w:rPr>
              <w:t>Fecha:</w:t>
            </w:r>
            <w:r>
              <w:rPr>
                <w:sz w:val="20"/>
              </w:rPr>
              <w:t xml:space="preserve"> 7 de septiembre de 2026.</w:t>
            </w:r>
          </w:p>
          <w:p>
            <w:pPr>
              <w:spacing w:after="40"/>
            </w:pPr>
            <w:r>
              <w:rPr>
                <w:b/>
                <w:sz w:val="20"/>
              </w:rPr>
              <w:t>Cobertura:</w:t>
            </w:r>
            <w:r>
              <w:rPr>
                <w:sz w:val="20"/>
              </w:rPr>
              <w:t xml:space="preserve"> proyecto académico completo, con implementación gradual por parciales e incrementos.</w:t>
            </w:r>
          </w:p>
        </w:tc>
      </w:tr>
    </w:tbl>
    <w:p>
      <w:pPr>
        <w:spacing w:after="0"/>
      </w:pPr>
    </w:p>
    <w:p>
      <w:pPr>
        <w:pStyle w:val="Heading1"/>
      </w:pPr>
      <w:r>
        <w:t>1. Propósito y alcance</w:t>
      </w:r>
    </w:p>
    <w:p>
      <w:r>
        <w:t>Este documento especifica los requerimientos funcionales y no funcionales de la solución completa, clasificados entre sistema web, microservicios, aplicación móvil, aplicación de escritorio, bases de datos, infraestructura, seguridad y monitoreo.</w:t>
      </w:r>
    </w:p>
    <w:p>
      <w:r>
        <w:t xml:space="preserve">La fase </w:t>
      </w:r>
      <w:r>
        <w:rPr>
          <w:b/>
        </w:rPr>
        <w:t>Primer parcial</w:t>
      </w:r>
      <w:r>
        <w:t xml:space="preserve"> identifica el subconjunto que deberá implementarse inicialmente; no elimina los requerimientos </w:t>
      </w:r>
      <w:r>
        <w:rPr>
          <w:b/>
        </w:rPr>
        <w:t>Posteriores</w:t>
      </w:r>
      <w:r>
        <w:t xml:space="preserve">. Los requerimientos </w:t>
      </w:r>
      <w:r>
        <w:rPr>
          <w:b/>
        </w:rPr>
        <w:t>Transversales</w:t>
      </w:r>
      <w:r>
        <w:t xml:space="preserve"> deberán considerarse desde el diseño y aplicarse en los incrementos correspondientes.</w:t>
      </w:r>
    </w:p>
    <w:p>
      <w:r>
        <w:t>La plataforma apoyará la coordinación y las decisiones, pero no sustituirá la evaluación médica, ética o normativa. Las reglas de compatibilidad, elegibilidad, urgencia, conservación, priorización y asignación deberán provenir de fuentes autorizadas, versionarse y validarse. Durante el proyecto académico solo se utilizarán datos ficticios y reglas demostrativas identificadas como tales.</w:t>
      </w:r>
    </w:p>
    <w:p>
      <w:pPr>
        <w:pStyle w:val="Heading1"/>
      </w:pPr>
      <w:r>
        <w:t>2. Convenciones</w:t>
      </w:r>
    </w:p>
    <w:p>
      <w:pPr>
        <w:pStyle w:val="Heading2"/>
      </w:pPr>
      <w:r>
        <w:t>2.1 Componentes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8567"/>
      </w:tblGrid>
      <w:tr>
        <w:trPr>
          <w:tblHeader w:val="true"/>
          <w:cantSplit/>
        </w:trPr>
        <w:tc>
          <w:tcPr>
            <w:tcW w:type="dxa" w:w="165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8567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Componente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WEB</w:t>
            </w:r>
          </w:p>
        </w:tc>
        <w:tc>
          <w:tcPr>
            <w:tcW w:type="dxa" w:w="85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Sistema web empresarial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MS</w:t>
            </w:r>
          </w:p>
        </w:tc>
        <w:tc>
          <w:tcPr>
            <w:tcW w:type="dxa" w:w="85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Módulo de microservicios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MOV</w:t>
            </w:r>
          </w:p>
        </w:tc>
        <w:tc>
          <w:tcPr>
            <w:tcW w:type="dxa" w:w="85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Aplicación móvil Android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DESK</w:t>
            </w:r>
          </w:p>
        </w:tc>
        <w:tc>
          <w:tcPr>
            <w:tcW w:type="dxa" w:w="85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Aplicación de escritorio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DAT</w:t>
            </w:r>
          </w:p>
        </w:tc>
        <w:tc>
          <w:tcPr>
            <w:tcW w:type="dxa" w:w="85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Bases de datos y almacenamiento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INF</w:t>
            </w:r>
          </w:p>
        </w:tc>
        <w:tc>
          <w:tcPr>
            <w:tcW w:type="dxa" w:w="85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Infraestructura e integración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SEC</w:t>
            </w:r>
          </w:p>
        </w:tc>
        <w:tc>
          <w:tcPr>
            <w:tcW w:type="dxa" w:w="85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Seguridad y privacidad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MON</w:t>
            </w:r>
          </w:p>
        </w:tc>
        <w:tc>
          <w:tcPr>
            <w:tcW w:type="dxa" w:w="85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Monitoreo y observabilidad</w:t>
            </w:r>
          </w:p>
        </w:tc>
      </w:tr>
    </w:tbl>
    <w:p>
      <w:pPr>
        <w:spacing w:after="0"/>
      </w:pPr>
    </w:p>
    <w:p>
      <w:pPr>
        <w:pStyle w:val="Heading2"/>
      </w:pPr>
      <w:r>
        <w:t>2.2 Fases y validación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135"/>
      </w:tblGrid>
      <w:tr>
        <w:trPr>
          <w:tblHeader w:val="true"/>
          <w:cantSplit/>
        </w:trPr>
        <w:tc>
          <w:tcPr>
            <w:tcW w:type="dxa" w:w="208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Clasificación</w:t>
            </w:r>
          </w:p>
        </w:tc>
        <w:tc>
          <w:tcPr>
            <w:tcW w:type="dxa" w:w="813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Valores utilizados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Fase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Primer parcial, Posterior o Transversal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Prioridad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Alta o Media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Validación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Técnica, Demostrativa o Clínica/normativa</w:t>
            </w:r>
          </w:p>
        </w:tc>
      </w:tr>
    </w:tbl>
    <w:p>
      <w:pPr>
        <w:spacing w:after="0"/>
      </w:pPr>
    </w:p>
    <w:p>
      <w:r>
        <w:t xml:space="preserve">Los prefijos </w:t>
      </w:r>
      <w:r>
        <w:rPr>
          <w:rFonts w:ascii="Menlo" w:hAnsi="Menlo" w:eastAsia="Menlo"/>
          <w:sz w:val="18"/>
        </w:rPr>
        <w:t>RF</w:t>
      </w:r>
      <w:r>
        <w:t xml:space="preserve"> y </w:t>
      </w:r>
      <w:r>
        <w:rPr>
          <w:rFonts w:ascii="Menlo" w:hAnsi="Menlo" w:eastAsia="Menlo"/>
          <w:sz w:val="18"/>
        </w:rPr>
        <w:t>RNF</w:t>
      </w:r>
      <w:r>
        <w:t xml:space="preserve"> identifican requerimientos funcionales y no funcionales. La consolidación agrupa acciones del mismo objetivo, pero no implica que cada requisito deba convertirse en una historia de usuario independiente.</w:t>
      </w:r>
    </w:p>
    <w:p>
      <w:pPr>
        <w:pStyle w:val="Heading1"/>
      </w:pPr>
      <w:r>
        <w:t>3. Sistema web empresarial</w:t>
      </w:r>
    </w:p>
    <w:p>
      <w:pPr>
        <w:pStyle w:val="Heading2"/>
      </w:pPr>
      <w:r>
        <w:t>3.1 Requerimientos funcionales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44"/>
        <w:gridCol w:w="2044"/>
        <w:gridCol w:w="2044"/>
        <w:gridCol w:w="2044"/>
        <w:gridCol w:w="2044"/>
      </w:tblGrid>
      <w:tr>
        <w:trPr>
          <w:tblHeader w:val="true"/>
          <w:cantSplit/>
        </w:trPr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Validación</w:t>
            </w:r>
          </w:p>
        </w:tc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Requerimiento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RF-WEB-001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Primer parcial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El sistema web deberá ofrecer una página pública informativa y acceso al portal privado, sin exponer inventarios detallados ni información personal o clínica.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RF-WEB-002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Transversal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El sistema web deberá permitir iniciar y cerrar sesión y, en el incremento correspondiente, recuperar la contraseña mediante un flujo temporal, seguro y auditable.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RF-WEB-003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Primer parcial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El Administrador deberá poder gestionar usuarios y asignar perfiles y ámbitos institucionales; durante el primer parcial solo se habilitarán funcionalmente Administrador, Operador de banco de sangre y Auditor, mientras los siete perfiles permanecerán definidos para el alcance completo. Cada usuario deberá visualizar únicamente el perfil, menú y operaciones autorizados.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RF-WEB-004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Primer parcial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El Administrador deberá poder gestionar catálogos y parámetros autorizados, incluidos durante el primer parcial instituciones —utilizadas como catálogo de referencia desde la entidad administrada en RF-WEB-005, sin duplicar información— y tipos de componentes sanguíneos, conservando auditoría de los cambios.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RF-WEB-005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Primer parcial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El Administrador deberá poder registrar y mantener instituciones, sedes, ubicación, contactos, capacidades y estado de participación en la red, como fuente conceptual única de la información institucional utilizada por los demás procesos.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RF-WEB-006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Posterior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Clínica/normativa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El personal autorizado deberá poder registrar y actualizar donantes con los datos, consentimientos, restricciones y estados pertinentes al tipo de donación.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RF-WEB-007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Posterior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Clínica/normativa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El Personal médico autorizado deberá poder registrar y actualizar receptores o pacientes y su participación en listas o procesos autorizados, sin crear por defecto un acceso directo para el receptor.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RF-WEB-008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Primer parcial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Demostrativa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El Operador de banco de sangre deberá poder registrar unidades sanguíneas ficticias, consultar su inventario, cambiar estados de forma controlada, conservar su historial y visualizar proximidad de caducidad mediante un parámetro demostrativo.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RF-WEB-009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Posterior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Clínica/normativa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El personal autorizado deberá poder mantener la disponibilidad y viabilidad de órganos mediante un flujo especializado y separado del inventario ordinario de unidades sanguíneas.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RF-WEB-010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Posterior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Clínica/normativa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El Personal médico autorizado deberá poder registrar y dar seguimiento a solicitudes ordinarias y urgentes, asociándolas con receptor, institución, necesidad y urgencia autorizada.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RF-WEB-011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Posterior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Clínica/normativa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El personal autorizado deberá poder capturar y consultar pruebas y estudios, diferenciando los aplicables a sangre de los correspondientes a órganos y tejidos.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RF-WEB-012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Posterior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Clínica/normativa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El Personal médico autorizado y el Coordinador regional deberán poder consultar candidatos, compatibilidad y priorización con factores, datos faltantes, versión y explicación, y registrar aceptación, rechazo, reevaluación o excepción justificada.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RF-WEB-013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Posterior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Clínica/normativa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El personal autorizado deberá poder reservar, asignar, cancelar, liberar o reasignar un recurso mediante confirmación humana y transiciones que eviten la doble asignación.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RF-WEB-014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Posterior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El Coordinador regional deberá poder programar y consultar traslados, incidencias, confirmaciones y eventos de cadena de custodia.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RF-WEB-015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Primer parcial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Durante el primer parcial, el sistema web deberá mostrar un panel principal básico para cada perfil inicial, con datos persistidos y accesos acordes con su autorización; posteriormente deberá evolucionar hacia un panel regional con notificaciones, indicadores y gráficas Highcharts.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RF-WEB-016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Posterior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Media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Clínica/normativa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Los usuarios autorizados deberán poder generar, filtrar y exportar reportes operativos o regulatorios conforme a formatos previamente definidos.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RF-WEB-017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Posterior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Media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Los usuarios autorizados deberán poder cargar, consultar y descargar archivos y evidencias mediante referencias controladas al almacenamiento de objetos.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RF-WEB-018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Primer parcial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El Auditor deberá poder buscar, filtrar y consultar sin modificar la bitácora correspondiente a usuarios, catálogos, unidades y cambios dentro de su ámbito autorizado.</w:t>
            </w:r>
          </w:p>
        </w:tc>
      </w:tr>
    </w:tbl>
    <w:p>
      <w:pPr>
        <w:spacing w:after="0"/>
      </w:pPr>
    </w:p>
    <w:p>
      <w:pPr>
        <w:pStyle w:val="Heading2"/>
      </w:pPr>
      <w:r>
        <w:t>3.2 Requerimientos no funcionales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44"/>
        <w:gridCol w:w="2044"/>
        <w:gridCol w:w="2044"/>
        <w:gridCol w:w="2044"/>
        <w:gridCol w:w="2044"/>
      </w:tblGrid>
      <w:tr>
        <w:trPr>
          <w:tblHeader w:val="true"/>
          <w:cantSplit/>
        </w:trPr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Validación</w:t>
            </w:r>
          </w:p>
        </w:tc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Requerimiento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RNF-WEB-001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Primer parcial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El sistema web deberá construirse con Python, Flask, Jinja2, HTML5, CSS3 y JavaScript; las gráficas deberán utilizar Highcharts.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RNF-WEB-002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Transversal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El sistema web deberá conservar sus funciones propias cuando la aplicación móvil o la aplicación de escritorio no estén disponibles.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RNF-WEB-003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Primer parcial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La interfaz deberá ser responsive, navegable mediante teclado y ofrecer etiquetas, contraste, mensajes, búsqueda, filtros y paginación apropiados para las tareas y navegadores definidos.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RNF-WEB-004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Primer parcial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Las operaciones demostradas deberán utilizar persistencia real y manejar errores de forma consistente sin revelar secretos, trazas internas o información sensible.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4. Módulo de microservicios</w:t>
      </w:r>
    </w:p>
    <w:p>
      <w:pPr>
        <w:pStyle w:val="Heading2"/>
      </w:pPr>
      <w:r>
        <w:t>4.1 Requerimientos funcionales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44"/>
        <w:gridCol w:w="2044"/>
        <w:gridCol w:w="2044"/>
        <w:gridCol w:w="2044"/>
        <w:gridCol w:w="2044"/>
      </w:tblGrid>
      <w:tr>
        <w:trPr>
          <w:tblHeader w:val="true"/>
          <w:cantSplit/>
        </w:trPr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Validación</w:t>
            </w:r>
          </w:p>
        </w:tc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Requerimiento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RF-MS-001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Posterior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Clínica/normativa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Los servicios de donantes y receptores deberán administrar por separado sus registros, estados, datos autorizados, consentimientos y necesidades, sin mezclar sus responsabilidades clínicas.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RF-MS-002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Posterior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Demostrativa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El servicio de inventario deberá administrar unidades sanguíneas, disponibilidad, estados y movimientos regionales, preservando un tratamiento especializado para órganos.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RF-MS-003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Posterior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Clínica/normativa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El servicio de compatibilidad deberá ejecutar matching sanguíneo y HLA únicamente con reglas autorizadas y versionadas, señalar información faltante y devolver una explicación auditable.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RF-MS-004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Posterior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Clínica/normativa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El servicio de priorización deberá ordenar candidatos o solicitudes mediante ranking multicriterio, utilizando solo la urgencia registrada por personal autorizado e incorporando, cuando corresponda, resultados autorizados de comparación u optimización por distancia y tiempo; deberá devolver factores, ponderaciones, versión y explicación.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RF-MS-005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Posterior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Media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El servicio geográfico deberá calcular, comparar u optimizar alternativas por distancia y tiempo estimado, mediante una fuente definida, para apoyar la priorización y la planeación de traslados, conservando procedencia, fecha y limitaciones del cálculo.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RF-MS-006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Posterior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Los servicios de transporte y cadena de custodia deberán gestionar órdenes, estados, incidencias, ubicación autorizada y eventos append-only de recolección y entrega con responsable, tiempo, condición y evidencia.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RF-MS-007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Posterior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El servicio de alertas deberá generar, dirigir, deduplicar y cerrar alertas de urgencia, caducidad, retraso e inconsistencias detectadas en duplicados, estados, secuencias o inventarios.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RF-MS-008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Posterior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El servicio de auditoría deberá recibir y permitir consultar eventos autorizados de autenticación, acceso, cambio, resultados algorítmicos, decisiones y cadena de custodia.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RF-MS-009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Posterior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Media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Demostrativa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El módulo deberá pronosticar riesgo de caducidad y sugerir balanceo regional mediante datos históricos o sintéticos, indicando limitaciones y sin ejecutar transferencias automáticamente.</w:t>
            </w:r>
          </w:p>
        </w:tc>
      </w:tr>
    </w:tbl>
    <w:p>
      <w:pPr>
        <w:spacing w:after="0"/>
      </w:pPr>
    </w:p>
    <w:p>
      <w:pPr>
        <w:pStyle w:val="Heading2"/>
      </w:pPr>
      <w:r>
        <w:t>4.2 Requerimientos no funcionales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44"/>
        <w:gridCol w:w="2044"/>
        <w:gridCol w:w="2044"/>
        <w:gridCol w:w="2044"/>
        <w:gridCol w:w="2044"/>
      </w:tblGrid>
      <w:tr>
        <w:trPr>
          <w:tblHeader w:val="true"/>
          <w:cantSplit/>
        </w:trPr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Validación</w:t>
            </w:r>
          </w:p>
        </w:tc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Requerimiento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RNF-MS-001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Posterior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 partir del segundo parcial, los microservicios deberán implementarse con Flask y REST versionado, permanecer separados del sistema web, atender responsabilidades justificadas y desplegarse en contenedores independientes.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RNF-MS-002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Posterior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Los microservicios deberán producir respuestas tanto en JSON como en XML según el consumidor. Las API deberán documentarse mediante OpenAPI o Swagger y definir autenticación, parámetros, contratos y ejemplos de ambos formatos, códigos HTTP, validaciones y formato uniforme de errores; las respuestas XML deberán validarse mediante XSD donde corresponda.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RNF-MS-003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Posterior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Toda petición protegida deberá validar JWT, sesión, revocación y permisos mediante los mecanismos definidos, incluida Redis.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RNF-MS-004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Posterior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Toda petición deberá aplicar límites configurables y registrar servicio, versión, tiempo, resultado e identificador de correlación sin exponer datos sensibles.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RNF-MS-005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Posterior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Los servicios deberán manejar timeouts, dependencias inaccesibles, reintentos seguros e idempotencia donde corresponda, evitando corrupción y fallos en cascada.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RNF-MS-006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Posterior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Media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Los algoritmos y flujos críticos deberán medirse con media, p95 y p99 bajo datos y concurrencia documentados; Locust deberá incluir varios perfiles, errores, saturación y recuperación.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5. Aplicación móvil Android</w:t>
      </w:r>
    </w:p>
    <w:p>
      <w:pPr>
        <w:pStyle w:val="Heading2"/>
      </w:pPr>
      <w:r>
        <w:t>5.1 Requerimientos funcionales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44"/>
        <w:gridCol w:w="2044"/>
        <w:gridCol w:w="2044"/>
        <w:gridCol w:w="2044"/>
        <w:gridCol w:w="2044"/>
      </w:tblGrid>
      <w:tr>
        <w:trPr>
          <w:tblHeader w:val="true"/>
          <w:cantSplit/>
        </w:trPr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Validación</w:t>
            </w:r>
          </w:p>
        </w:tc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Requerimiento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RF-MOV-001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Posterior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La aplicación deberá permitir iniciar, renovar y cerrar sesión mediante JWT, consultar el perfil y mostrar un menú diferenciado entre Donante y Personal de traslado.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RF-MOV-002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Posterior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Clínica/normativa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El Donante deberá poder enviar un registro preliminar con datos mínimos y consultar su estado pendiente de validación presencial o profesional.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RF-MOV-003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Posterior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Media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El Donante deberá poder consultar campañas y programar, consultar o cancelar citas conforme a la información publicada.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RF-MOV-004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Posterior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Media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Clínica/normativa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El Donante deberá poder recibir avisos de elegibilidad o seguimiento emitidos a partir de una decisión autorizada.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RF-MOV-005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Posterior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El Personal de traslado deberá poder consultar sus órdenes, escanear el recurso asignado y confirmar recolección y entrega con responsable, fecha, ubicación y resultado de verificación.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RF-MOV-006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Posterior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Media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La aplicación deberá capturar ubicación y evidencia fotográfica únicamente durante el traslado, evento y periodo autorizados.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RF-MOV-007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Posterior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La aplicación deberá conservar temporalmente operaciones permitidas sin conexión y sincronizarlas al recuperar conectividad, informando conflictos o rechazos.</w:t>
            </w:r>
          </w:p>
        </w:tc>
      </w:tr>
    </w:tbl>
    <w:p>
      <w:pPr>
        <w:spacing w:after="0"/>
      </w:pPr>
    </w:p>
    <w:p>
      <w:pPr>
        <w:pStyle w:val="Heading2"/>
      </w:pPr>
      <w:r>
        <w:t>5.2 Requerimientos no funcionales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44"/>
        <w:gridCol w:w="2044"/>
        <w:gridCol w:w="2044"/>
        <w:gridCol w:w="2044"/>
        <w:gridCol w:w="2044"/>
      </w:tblGrid>
      <w:tr>
        <w:trPr>
          <w:tblHeader w:val="true"/>
          <w:cantSplit/>
        </w:trPr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Validación</w:t>
            </w:r>
          </w:p>
        </w:tc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Requerimiento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RNF-MOV-001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Posterior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La aplicación se desarrollará para Android en Java o Kotlin, consumirá exclusivamente JSON y utilizará al menos cuatro microservicios.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RNF-MOV-002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Posterior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El dispositivo, los tokens y los datos temporales deberán registrarse y almacenarse de forma segura, eliminarse al cerrar sesión y respetar la finalidad y retención de ubicación y fotografías.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RNF-MOV-003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Posterior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La interfaz deberá indicar conectividad, validar formularios y manejar errores y sincronización sin perder silenciosamente información capturada.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RNF-MOV-004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Posterior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Media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La aplicación deberá incorporar al menos dos capacidades pertinentes del dispositivo y evaluar mediante tareas los flujos de Donante y Personal de traslado.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6. Aplicación de escritorio</w:t>
      </w:r>
    </w:p>
    <w:p>
      <w:pPr>
        <w:pStyle w:val="Heading2"/>
      </w:pPr>
      <w:r>
        <w:t>6.1 Requerimientos funcionales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44"/>
        <w:gridCol w:w="2044"/>
        <w:gridCol w:w="2044"/>
        <w:gridCol w:w="2044"/>
        <w:gridCol w:w="2044"/>
      </w:tblGrid>
      <w:tr>
        <w:trPr>
          <w:tblHeader w:val="true"/>
          <w:cantSplit/>
        </w:trPr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Validación</w:t>
            </w:r>
          </w:p>
        </w:tc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Requerimiento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RF-DESK-001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Posterior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La aplicación deberá permitir iniciar y cerrar sesión mediante JWT y mostrar las operaciones autorizadas para Operador de banco de sangre y Coordinador regional.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RF-DESK-002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Posterior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Demostrativa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El Operador deberá poder registrar y actualizar unidades y gestionar inventario, movimientos, estados y alertas mediante los microservicios.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RF-DESK-003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Posterior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Clínica/normativa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El Operador deberá poder capturar y consultar pruebas con estado, responsable y revisión autorizada.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RF-DESK-004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Posterior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Clínica/normativa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El personal autorizado deberá poder consultar compatibilidad y priorización explicables y registrar aceptación, rechazo, reevaluación o excepción sin alterar el cálculo original.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RF-DESK-005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Posterior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Media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Clínica/normativa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El Operador deberá poder imprimir etiquetas mediante una plantilla o codificación previamente autorizada.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RF-DESK-006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Posterior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El personal autorizado deberá poder registrar y consultar eventos de cadena de custodia mediante los microservicios.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RF-DESK-007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Posterior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Media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Clínica/normativa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El personal autorizado deberá poder consultar tablas, buscar, filtrar, generar y exportar reportes operativos o regulatorios en los formatos definidos.</w:t>
            </w:r>
          </w:p>
        </w:tc>
      </w:tr>
    </w:tbl>
    <w:p>
      <w:pPr>
        <w:spacing w:after="0"/>
      </w:pPr>
    </w:p>
    <w:p>
      <w:pPr>
        <w:pStyle w:val="Heading2"/>
      </w:pPr>
      <w:r>
        <w:t>6.2 Requerimientos no funcionales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44"/>
        <w:gridCol w:w="2044"/>
        <w:gridCol w:w="2044"/>
        <w:gridCol w:w="2044"/>
        <w:gridCol w:w="2044"/>
      </w:tblGrid>
      <w:tr>
        <w:trPr>
          <w:tblHeader w:val="true"/>
          <w:cantSplit/>
        </w:trPr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Validación</w:t>
            </w:r>
          </w:p>
        </w:tc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Requerimiento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RNF-DESK-001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Posterior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La tecnología deberá seleccionarse entre las opciones autorizadas y la aplicación deberá operar desacoplada de las vistas y sesiones internas del sistema web.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RNF-DESK-002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Posterior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La aplicación deberá consumir exclusivamente XML validado mediante XSD, protegerse contra XXE y utilizar al menos cuatro microservicios.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RNF-DESK-003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Posterior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La aplicación deberá validar sesión y permisos mediante servicios y manejar errores de autenticación, contrato y red sin perder silenciosamente formularios.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RNF-DESK-004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Posterior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Media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Los flujos repetitivos de captura, consulta, exportación e impresión deberán evaluarse mediante tareas de usabilidad para los perfiles internos.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7. Bases de datos y almacenamiento</w:t>
      </w:r>
    </w:p>
    <w:p>
      <w:pPr>
        <w:pStyle w:val="Heading2"/>
      </w:pPr>
      <w:r>
        <w:t>7.1 Requerimientos funcionales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44"/>
        <w:gridCol w:w="2044"/>
        <w:gridCol w:w="2044"/>
        <w:gridCol w:w="2044"/>
        <w:gridCol w:w="2044"/>
      </w:tblGrid>
      <w:tr>
        <w:trPr>
          <w:tblHeader w:val="true"/>
          <w:cantSplit/>
        </w:trPr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Validación</w:t>
            </w:r>
          </w:p>
        </w:tc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Requerimiento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RF-DAT-001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Primer parcial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PostgreSQL deberá persistir instituciones, usuarios, permisos, catálogos, inventario, estados y auditoría básica, incluir datos ficticios iniciales y ampliar posteriormente los datos estructurados aprobados.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RF-DAT-002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Posterior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MongoDB deberá almacenar documentos flexibles, telemetría, historiales extensos o resultados semiestructurados cuyo modelo documental esté justificado.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RF-DAT-003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Posterior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 partir del segundo parcial, Redis deberá administrar sesiones, revocaciones, permisos temporales, rate limiting, caché autorizada, bloqueos, contadores y datos temporales con expiración definida.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RF-DAT-004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Posterior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Google Cloud Storage deberá almacenar evidencias, documentos, reportes e imágenes, conservando en las bases únicamente referencias y metadatos autorizados.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RF-DAT-005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Transversal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Los registros de auditoría y custodia deberán conservar identificadores, actor, tiempo, acción, entidad, resultado y datos mínimos necesarios para reconstruir cada evento.</w:t>
            </w:r>
          </w:p>
        </w:tc>
      </w:tr>
    </w:tbl>
    <w:p>
      <w:pPr>
        <w:spacing w:after="0"/>
      </w:pPr>
    </w:p>
    <w:p>
      <w:pPr>
        <w:pStyle w:val="Heading2"/>
      </w:pPr>
      <w:r>
        <w:t>7.2 Requerimientos no funcionales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44"/>
        <w:gridCol w:w="2044"/>
        <w:gridCol w:w="2044"/>
        <w:gridCol w:w="2044"/>
        <w:gridCol w:w="2044"/>
      </w:tblGrid>
      <w:tr>
        <w:trPr>
          <w:tblHeader w:val="true"/>
          <w:cantSplit/>
        </w:trPr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Validación</w:t>
            </w:r>
          </w:p>
        </w:tc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Requerimiento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RNF-DAT-001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Transversal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Los clientes no deberán acceder directamente a los almacenes y la distribución deberá definir un único propietario autoritativo para cada dato.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RNF-DAT-002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Transversal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Las reservas y asignaciones deberán utilizar transacciones, restricciones o bloqueos que impidan estados contradictorios y doble asignación.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RNF-DAT-003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Posterior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Los archivos grandes no deberán almacenarse en bases de datos y los objetos privados deberán entregarse mediante URLs firmadas con vigencia limitada.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RNF-DAT-004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Transversal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Cada almacén deberá definir claves, restricciones, índices, crecimiento, retención, eliminación lógica, segregación, respaldo y restauración; las pruebas deberán medir volumen, caché y consumo de recursos.</w:t>
            </w:r>
          </w:p>
        </w:tc>
      </w:tr>
    </w:tbl>
    <w:p>
      <w:pPr>
        <w:spacing w:after="0"/>
      </w:pPr>
    </w:p>
    <w:p>
      <w:pPr>
        <w:pStyle w:val="Heading1"/>
      </w:pPr>
      <w:r>
        <w:t>8. Infraestructura e integración</w:t>
      </w:r>
    </w:p>
    <w:p>
      <w:pPr>
        <w:pStyle w:val="Heading2"/>
      </w:pPr>
      <w:r>
        <w:t>8.1 Requerimientos no funcionales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44"/>
        <w:gridCol w:w="2044"/>
        <w:gridCol w:w="2044"/>
        <w:gridCol w:w="2044"/>
        <w:gridCol w:w="2044"/>
      </w:tblGrid>
      <w:tr>
        <w:trPr>
          <w:tblHeader w:val="true"/>
          <w:cantSplit/>
        </w:trPr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Validación</w:t>
            </w:r>
          </w:p>
        </w:tc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Requerimiento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RNF-INF-001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Primer parcial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El repositorio deberá documentar estrategia de ramas, incidencias, tablero, estándares de codificación y convenciones de nombres.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RNF-INF-002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Primer parcial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Cada componente deberá declarar dependencias y variables de entorno sin almacenar secretos o valores reales en el repositorio.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RNF-INF-003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Posterior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 partir del segundo parcial, los componentes desplegables deberán contar con Dockerfile y Docker Compose deberá reproducir el entorno local con PostgreSQL, MongoDB y Redis.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RNF-INF-004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Posterior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La distribución en Google Compute Engine deberá documentar web, microservicios, datos, archivos y monitoreo, utilizando redes privadas, firewall, puertos mínimos y comunicaciones cifradas.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RNF-INF-005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Posterior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Media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La integración continua deberá ejecutar validaciones y permitir desplegar componentes independientes sin exigir el despliegue simultáneo de toda la plataforma.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RNF-INF-006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Posterior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La plataforma deberá demostrar al menos tres procesos integrales y, en uno de ellos, la consulta coherente desde distintos clientes respetando JSON para móvil y XML para escritorio.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RNF-INF-007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Posterior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Ante una falla parcial, la plataforma deberá detectarla, registrarla, evitar corrupción y recuperar la operación cuando la dependencia se restablezca.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RNF-INF-008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Transversal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Cada incremento deberá aportar pruebas proporcionales al riesgo: unitarias, integración, sistema, regresión, extremo a extremo, contratos, autenticación, fallos, concurrencia, archivos, datos masivos, seguridad y usabilidad.</w:t>
            </w:r>
          </w:p>
        </w:tc>
      </w:tr>
    </w:tbl>
    <w:p>
      <w:pPr>
        <w:spacing w:after="0"/>
      </w:pPr>
    </w:p>
    <w:p>
      <w:pPr>
        <w:pStyle w:val="Heading1"/>
      </w:pPr>
      <w:r>
        <w:t>9. Seguridad y privacidad</w:t>
      </w:r>
    </w:p>
    <w:p>
      <w:pPr>
        <w:pStyle w:val="Heading2"/>
      </w:pPr>
      <w:r>
        <w:t>9.1 Requerimientos funcionales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44"/>
        <w:gridCol w:w="2044"/>
        <w:gridCol w:w="2044"/>
        <w:gridCol w:w="2044"/>
        <w:gridCol w:w="2044"/>
      </w:tblGrid>
      <w:tr>
        <w:trPr>
          <w:tblHeader w:val="true"/>
          <w:cantSplit/>
        </w:trPr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Validación</w:t>
            </w:r>
          </w:p>
        </w:tc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Requerimiento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RF-SEC-001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Transversal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El componente de seguridad deberá autenticar usuarios y emitir, renovar, rotar, expirar y revocar tokens y sesiones mediante los mecanismos definidos.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RF-SEC-002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Primer parcial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El Administrador deberá poder asignar perfiles y ámbitos institucionales sin otorgar facultades clínicas adicionales.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RF-SEC-003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Transversal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El sistema deberá registrar intentos fallidos y auditar autenticaciones, accesos sensibles, permisos, operaciones críticas, resultados algorítmicos, aprobaciones y anulaciones.</w:t>
            </w:r>
          </w:p>
        </w:tc>
      </w:tr>
    </w:tbl>
    <w:p>
      <w:pPr>
        <w:spacing w:after="0"/>
      </w:pPr>
    </w:p>
    <w:p>
      <w:pPr>
        <w:pStyle w:val="Heading2"/>
      </w:pPr>
      <w:r>
        <w:t>9.2 Requerimientos no funcionales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44"/>
        <w:gridCol w:w="2044"/>
        <w:gridCol w:w="2044"/>
        <w:gridCol w:w="2044"/>
        <w:gridCol w:w="2044"/>
      </w:tblGrid>
      <w:tr>
        <w:trPr>
          <w:tblHeader w:val="true"/>
          <w:cantSplit/>
        </w:trPr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Validación</w:t>
            </w:r>
          </w:p>
        </w:tc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Requerimiento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RNF-SEC-001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Transversal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En el primer parcial, las contraseñas deberán usar hash seguro y los JWT de acceso deberán tener expiración definida. A partir del segundo parcial, los tokens de renovación deberán rotarse o aplicar un control equivalente y la sesión y revocación deberán validarse mediante Redis.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RNF-SEC-002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Transversal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Toda petición protegida deberá aplicar mínimo privilegio y validar rol, acción, recurso y ámbito institucional.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RNF-SEC-003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Transversal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Las consultas deberán ser parametrizadas y las entradas JSON, XML, formularios y archivos deberán validarse, incluyendo protección contra inyección y XXE.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RNF-SEC-004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Transversal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Los endpoints deberán aplicar rate limiting, registrar intentos fallidos y realizar bloqueo temporal conforme al riesgo configurado.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RNF-SEC-005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Transversal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Las comunicaciones deberán cifrarse y los secretos deberán mantenerse fuera del código y de archivos versionados.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RNF-SEC-006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Transversal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Interfaces, respuestas, logs y errores deberán minimizar u ocultar datos personales, clínicos, ubicación, fotografías, tokens y secretos.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RNF-SEC-007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Posterior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Clínica/normativa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La ubicación y las fotografías deberán limitarse a perfiles, finalidades, traslados y periodos autorizados y eliminarse localmente cuando dejen de ser necesarias.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RNF-SEC-008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Transversal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Clínica/normativa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Las políticas de consentimiento, retención, bloqueo, eliminación e intercambio interinstitucional deberán validarse antes de utilizar datos reales.</w:t>
            </w:r>
          </w:p>
        </w:tc>
      </w:tr>
    </w:tbl>
    <w:p>
      <w:pPr>
        <w:spacing w:after="0"/>
      </w:pPr>
    </w:p>
    <w:p>
      <w:pPr>
        <w:pStyle w:val="Heading1"/>
      </w:pPr>
      <w:r>
        <w:t>10. Monitoreo y observabilidad</w:t>
      </w:r>
    </w:p>
    <w:p>
      <w:pPr>
        <w:pStyle w:val="Heading2"/>
      </w:pPr>
      <w:r>
        <w:t>10.1 Requerimientos funcionales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44"/>
        <w:gridCol w:w="2044"/>
        <w:gridCol w:w="2044"/>
        <w:gridCol w:w="2044"/>
        <w:gridCol w:w="2044"/>
      </w:tblGrid>
      <w:tr>
        <w:trPr>
          <w:tblHeader w:val="true"/>
          <w:cantSplit/>
        </w:trPr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Validación</w:t>
            </w:r>
          </w:p>
        </w:tc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Requerimiento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RF-MON-001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Posterior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El servicio de monitoreo deberá consultar periódicamente los endpoints de salud, incluidos proceso y dependencias aplicables de base de datos, Redis, MongoDB y Storage.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RF-MON-002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Posterior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El panel deberá mostrar servicios disponibles, degradados o caídos, tiempo promedio, último error, dependencia causante, versión, fecha de verificación y número de errores.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RF-MON-003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Posterior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Media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El servicio deberá conservar y permitir consultar el historial de disponibilidad y cambios de estado.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RF-MON-004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Posterior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El servicio deberá generar avisos de caída, degradación y recuperación dirigidos a los responsables configurados.</w:t>
            </w:r>
          </w:p>
        </w:tc>
      </w:tr>
    </w:tbl>
    <w:p>
      <w:pPr>
        <w:spacing w:after="0"/>
      </w:pPr>
    </w:p>
    <w:p>
      <w:pPr>
        <w:pStyle w:val="Heading2"/>
      </w:pPr>
      <w:r>
        <w:t>10.2 Requerimientos no funcionales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44"/>
        <w:gridCol w:w="2044"/>
        <w:gridCol w:w="2044"/>
        <w:gridCol w:w="2044"/>
        <w:gridCol w:w="2044"/>
      </w:tblGrid>
      <w:tr>
        <w:trPr>
          <w:tblHeader w:val="true"/>
          <w:cantSplit/>
        </w:trPr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Validación</w:t>
            </w:r>
          </w:p>
        </w:tc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Requerimiento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RNF-MON-001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Posterior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Los health checks deberán distinguir proceso detenido, dependencia inaccesible, respuesta inválida y timeout mediante estados diferenciados.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RNF-MON-002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Posterior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La indisponibilidad del monitoreo no deberá detener las operaciones propias de los componentes supervisados.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RNF-MON-003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Posterior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Logs y métricas deberán ser centralizables, usar timestamps e identificadores de correlación y no almacenar datos clínicos o secretos innecesarios.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979" w:right="1008" w:bottom="979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374151"/>
        <w:sz w:val="17"/>
      </w:rPr>
      <w:t xml:space="preserve">Equipo 01  · 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991B1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7F1D1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59" w:lineRule="auto"/>
      <w:contextualSpacing/>
    </w:pPr>
    <w:rPr>
      <w:rFonts w:ascii="Arial" w:hAnsi="Arial" w:eastAsia="Arial"/>
      <w:color w:val="1F29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59" w:lineRule="auto"/>
      <w:contextualSpacing/>
    </w:pPr>
    <w:rPr>
      <w:rFonts w:ascii="Arial" w:hAnsi="Arial" w:eastAsia="Arial"/>
      <w:color w:val="1F29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Requerimientos funcionales y no funcionales</dc:title>
  <dc:subject>Proyecto 6: Red regional de bancos de sangre y donación de órganos</dc:subject>
  <dc:creator>Equipo 01</dc:creator>
  <cp:keywords/>
  <dc:description>Línea base documental del proyecto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