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8" w:space="6" w:color="9FBAD0"/>
        </w:pBdr>
      </w:pPr>
      <w:r>
        <w:t>Sprint Backlog — Plan de trabajo del semestre</w:t>
      </w:r>
    </w:p>
    <w:p>
      <w:pPr>
        <w:spacing w:after="180"/>
      </w:pPr>
      <w:r>
        <w:rPr>
          <w:i/>
        </w:rPr>
        <w:t>Revisión documental — 14 de octubre de 2026: documento de referencia para el alcance y la planificación del semestre. Las fases y fechas originales expresan la secuencia prevista, no el estado de implementación. El portal integrado, los microservicios, PostgreSQL, MongoDB y Redis ya tienen operación local; Android, escritorio, Docker y GCP siguen pendientes. PROJECT_STATUS.md registra el avance comprobado. La arquitectura ejecutable se describe en documentation/markdowns/Arquitectura.md y la persistencia en documentation/markdowns/Datos_y_persistencia.md. El reporte integral de septiembre conserva una entrega anterior.</w:t>
      </w:r>
    </w:p>
    <w:tbl>
      <w:tblPr>
        <w:tblStyle w:val="TableGrid"/>
        <w:tblW w:type="auto" w:w="0"/>
        <w:jc w:val="center"/>
        <w:tblLook w:firstColumn="1" w:firstRow="1" w:lastColumn="0" w:lastRow="0" w:noHBand="0" w:noVBand="1" w:val="04A0"/>
      </w:tblPr>
      <w:tblGrid>
        <w:gridCol w:w="10224"/>
      </w:tblGrid>
      <w:tr>
        <w:tc>
          <w:tcPr>
            <w:tcW w:type="dxa" w:w="10224"/>
            <w:shd w:fill="F8FAFC"/>
            <w:tcMar>
              <w:top w:w="110" w:type="dxa"/>
              <w:start w:w="145" w:type="dxa"/>
              <w:bottom w:w="110" w:type="dxa"/>
              <w:end w:w="145" w:type="dxa"/>
            </w:tcMar>
          </w:tcPr>
          <w:p>
            <w:pPr>
              <w:spacing w:after="40"/>
            </w:pPr>
            <w:r>
              <w:rPr>
                <w:b/>
                <w:sz w:val="20"/>
              </w:rPr>
              <w:t>Proyecto:</w:t>
            </w:r>
            <w:r>
              <w:rPr>
                <w:sz w:val="20"/>
              </w:rPr>
              <w:t xml:space="preserve"> Red regional de bancos de sangre y donación de órganos — Equipo 01.</w:t>
            </w:r>
          </w:p>
          <w:p>
            <w:pPr>
              <w:spacing w:after="40"/>
            </w:pPr>
            <w:r>
              <w:rPr>
                <w:b/>
                <w:sz w:val="20"/>
              </w:rPr>
              <w:t>Versión:</w:t>
            </w:r>
            <w:r>
              <w:rPr>
                <w:sz w:val="20"/>
              </w:rPr>
              <w:t xml:space="preserve"> cierre del primer parcial.</w:t>
            </w:r>
          </w:p>
          <w:p>
            <w:pPr>
              <w:spacing w:after="40"/>
            </w:pPr>
            <w:r>
              <w:rPr>
                <w:b/>
                <w:sz w:val="20"/>
              </w:rPr>
              <w:t>Fecha:</w:t>
            </w:r>
            <w:r>
              <w:rPr>
                <w:sz w:val="20"/>
              </w:rPr>
              <w:t xml:space="preserve"> 7 de septiembre de 2026.</w:t>
            </w:r>
          </w:p>
          <w:p>
            <w:pPr>
              <w:spacing w:after="40"/>
            </w:pPr>
            <w:r>
              <w:rPr>
                <w:b/>
                <w:sz w:val="20"/>
              </w:rPr>
              <w:t>Cobertura:</w:t>
            </w:r>
            <w:r>
              <w:rPr>
                <w:sz w:val="20"/>
              </w:rPr>
              <w:t xml:space="preserve"> cuatro sprints y 29 elementos derivados del plan de trabajo del semestre.</w:t>
            </w:r>
          </w:p>
        </w:tc>
      </w:tr>
    </w:tbl>
    <w:p>
      <w:pPr>
        <w:spacing w:after="0"/>
      </w:pPr>
    </w:p>
    <w:p>
      <w:pPr>
        <w:pStyle w:val="Heading1"/>
      </w:pPr>
      <w:r>
        <w:t>1. Propósito y alcance</w:t>
      </w:r>
    </w:p>
    <w:p>
      <w:r>
        <w:t>El Sprint Backlog organiza los paquetes del plan semestral como elementos de trabajo verificables. Cada elemento conserva el identificador, la actividad, el frente responsable, las dependencias, la evidencia de cierre y el estado correspondiente. Los cuatro sprints coinciden con el primer parcial, el segundo parcial, el tercer parcial y la entrega final.</w:t>
      </w:r>
    </w:p>
    <w:p>
      <w:r>
        <w:t>La secuencia se rige por las dependencias del plan. Cada elemento cuenta con una persona responsable principal, seleccionada por afinidad con las asignaciones del Sprint Backlog precedente; los demás integrantes podrán colaborar de acuerdo con el frente indicado. La persona revisora se asignará en el tablero antes del cierre de la actividad. Las fechas indicadas funcionan como hitos de cierre y deberán ajustarse si cambia el calendario oficial.</w:t>
      </w:r>
    </w:p>
    <w:p>
      <w:r>
        <w:t>Cada elemento identifica los RF y RNF directamente relacionados. Esta relación operativa complementa la matriz de trazabilidad integral, en la cual también se vincularán historias, reglas, casos de uso y pruebas.</w:t>
      </w:r>
    </w:p>
    <w:p>
      <w:pPr>
        <w:pStyle w:val="Heading1"/>
      </w:pPr>
      <w:r>
        <w:t>2. Criterios de administración</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vAlign w:val="center"/>
            <w:shd w:fill="991B1B"/>
            <w:tcMar>
              <w:top w:w="95" w:type="dxa"/>
              <w:start w:w="105" w:type="dxa"/>
              <w:bottom w:w="95" w:type="dxa"/>
              <w:end w:w="105" w:type="dxa"/>
            </w:tcMar>
          </w:tcPr>
          <w:p>
            <w:pPr>
              <w:spacing w:after="0"/>
            </w:pPr>
            <w:r>
              <w:rPr>
                <w:b/>
                <w:color w:val="FFFFFF"/>
                <w:sz w:val="19"/>
              </w:rPr>
              <w:t>Estado</w:t>
            </w:r>
          </w:p>
        </w:tc>
        <w:tc>
          <w:tcPr>
            <w:tcW w:type="dxa" w:w="8280"/>
            <w:vAlign w:val="center"/>
            <w:shd w:fill="991B1B"/>
            <w:tcMar>
              <w:top w:w="95" w:type="dxa"/>
              <w:start w:w="105" w:type="dxa"/>
              <w:bottom w:w="95" w:type="dxa"/>
              <w:end w:w="105" w:type="dxa"/>
            </w:tcMar>
          </w:tcPr>
          <w:p>
            <w:pPr>
              <w:spacing w:after="0"/>
            </w:pPr>
            <w:r>
              <w:rPr>
                <w:b/>
                <w:color w:val="FFFFFF"/>
                <w:sz w:val="19"/>
              </w:rPr>
              <w:t>Significado</w:t>
            </w:r>
          </w:p>
        </w:tc>
      </w:tr>
      <w:tr>
        <w:trPr>
          <w:cantSplit/>
        </w:trPr>
        <w:tc>
          <w:tcPr>
            <w:tcW w:type="dxa" w:w="1944"/>
            <w:vAlign w:val="top"/>
            <w:tcMar>
              <w:top w:w="95" w:type="dxa"/>
              <w:start w:w="105" w:type="dxa"/>
              <w:bottom w:w="95" w:type="dxa"/>
              <w:end w:w="105" w:type="dxa"/>
            </w:tcMar>
          </w:tcPr>
          <w:p>
            <w:pPr>
              <w:spacing w:after="0" w:line="259" w:lineRule="auto"/>
            </w:pPr>
            <w:r>
              <w:rPr>
                <w:sz w:val="19"/>
              </w:rPr>
              <w:t>Pendiente</w:t>
            </w:r>
          </w:p>
        </w:tc>
        <w:tc>
          <w:tcPr>
            <w:tcW w:type="dxa" w:w="8280"/>
            <w:vAlign w:val="top"/>
            <w:tcMar>
              <w:top w:w="95" w:type="dxa"/>
              <w:start w:w="105" w:type="dxa"/>
              <w:bottom w:w="95" w:type="dxa"/>
              <w:end w:w="105" w:type="dxa"/>
            </w:tcMar>
          </w:tcPr>
          <w:p>
            <w:pPr>
              <w:spacing w:after="0" w:line="259" w:lineRule="auto"/>
            </w:pPr>
            <w:r>
              <w:rPr>
                <w:sz w:val="19"/>
              </w:rPr>
              <w:t>El elemento no ha iniciado o todavía no cuenta con evidencia parcial registrada.</w:t>
            </w:r>
          </w:p>
        </w:tc>
      </w:tr>
      <w:tr>
        <w:trPr>
          <w:cantSplit/>
        </w:trPr>
        <w:tc>
          <w:tcPr>
            <w:tcW w:type="dxa" w:w="1944"/>
            <w:vAlign w:val="top"/>
            <w:tcMar>
              <w:top w:w="95" w:type="dxa"/>
              <w:start w:w="105" w:type="dxa"/>
              <w:bottom w:w="95" w:type="dxa"/>
              <w:end w:w="105" w:type="dxa"/>
            </w:tcMar>
            <w:shd w:fill="F3F4F6"/>
          </w:tcPr>
          <w:p>
            <w:pPr>
              <w:spacing w:after="0" w:line="259" w:lineRule="auto"/>
            </w:pPr>
            <w:r>
              <w:rPr>
                <w:sz w:val="19"/>
              </w:rPr>
              <w:t>En proceso</w:t>
            </w:r>
          </w:p>
        </w:tc>
        <w:tc>
          <w:tcPr>
            <w:tcW w:type="dxa" w:w="8280"/>
            <w:vAlign w:val="top"/>
            <w:tcMar>
              <w:top w:w="95" w:type="dxa"/>
              <w:start w:w="105" w:type="dxa"/>
              <w:bottom w:w="95" w:type="dxa"/>
              <w:end w:w="105" w:type="dxa"/>
            </w:tcMar>
            <w:shd w:fill="F3F4F6"/>
          </w:tcPr>
          <w:p>
            <w:pPr>
              <w:spacing w:after="0" w:line="259" w:lineRule="auto"/>
            </w:pPr>
            <w:r>
              <w:rPr>
                <w:sz w:val="19"/>
              </w:rPr>
              <w:t>Existe trabajo o evidencia parcial, pero aún no se satisface todo el criterio de cierre.</w:t>
            </w:r>
          </w:p>
        </w:tc>
      </w:tr>
      <w:tr>
        <w:trPr>
          <w:cantSplit/>
        </w:trPr>
        <w:tc>
          <w:tcPr>
            <w:tcW w:type="dxa" w:w="1944"/>
            <w:vAlign w:val="top"/>
            <w:tcMar>
              <w:top w:w="95" w:type="dxa"/>
              <w:start w:w="105" w:type="dxa"/>
              <w:bottom w:w="95" w:type="dxa"/>
              <w:end w:w="105" w:type="dxa"/>
            </w:tcMar>
          </w:tcPr>
          <w:p>
            <w:pPr>
              <w:spacing w:after="0" w:line="259" w:lineRule="auto"/>
            </w:pPr>
            <w:r>
              <w:rPr>
                <w:sz w:val="19"/>
              </w:rPr>
              <w:t>Terminado</w:t>
            </w:r>
          </w:p>
        </w:tc>
        <w:tc>
          <w:tcPr>
            <w:tcW w:type="dxa" w:w="8280"/>
            <w:vAlign w:val="top"/>
            <w:tcMar>
              <w:top w:w="95" w:type="dxa"/>
              <w:start w:w="105" w:type="dxa"/>
              <w:bottom w:w="95" w:type="dxa"/>
              <w:end w:w="105" w:type="dxa"/>
            </w:tcMar>
          </w:tcPr>
          <w:p>
            <w:pPr>
              <w:spacing w:after="0" w:line="259" w:lineRule="auto"/>
            </w:pPr>
            <w:r>
              <w:rPr>
                <w:sz w:val="19"/>
              </w:rPr>
              <w:t>El criterio de cierre y el criterio común de terminado están satisfechos y revisados.</w:t>
            </w:r>
          </w:p>
        </w:tc>
      </w:tr>
    </w:tbl>
    <w:p>
      <w:pPr>
        <w:spacing w:after="0"/>
      </w:pPr>
    </w:p>
    <w:p>
      <w:r>
        <w:t>Un elemento solo podrá marcarse como terminado cuando su resultado sea verificable, sus dependencias estén resueltas y las pruebas, documentos o evidencias aplicables se encuentren actualizados. Los impedimentos, posibles reasignaciones, fechas reales y enlaces a evidencias se registrarán en el tablero operativo.</w:t>
      </w:r>
    </w:p>
    <w:p>
      <w:pPr>
        <w:pStyle w:val="Heading1"/>
        <w:pageBreakBefore/>
      </w:pPr>
      <w:r>
        <w:t>3. Sprint 1 — Primer parcial</w:t>
      </w:r>
    </w:p>
    <w:tbl>
      <w:tblPr>
        <w:tblStyle w:val="TableGrid"/>
        <w:tblW w:type="auto" w:w="0"/>
        <w:jc w:val="center"/>
        <w:tblLook w:firstColumn="1" w:firstRow="1" w:lastColumn="0" w:lastRow="0" w:noHBand="0" w:noVBand="1" w:val="04A0"/>
      </w:tblPr>
      <w:tblGrid>
        <w:gridCol w:w="10224"/>
      </w:tblGrid>
      <w:tr>
        <w:tc>
          <w:tcPr>
            <w:tcW w:type="dxa" w:w="10224"/>
            <w:shd w:fill="F8FAFC"/>
            <w:tcMar>
              <w:top w:w="110" w:type="dxa"/>
              <w:start w:w="145" w:type="dxa"/>
              <w:bottom w:w="110" w:type="dxa"/>
              <w:end w:w="145" w:type="dxa"/>
            </w:tcMar>
          </w:tcPr>
          <w:p>
            <w:pPr>
              <w:spacing w:after="40"/>
            </w:pPr>
            <w:r>
              <w:rPr>
                <w:b/>
                <w:sz w:val="20"/>
              </w:rPr>
              <w:t>Objetivo:</w:t>
            </w:r>
            <w:r>
              <w:rPr>
                <w:sz w:val="20"/>
              </w:rPr>
              <w:t xml:space="preserve"> comprender el negocio, aprobar la arquitectura y ejecutar una base web funcional.</w:t>
            </w:r>
          </w:p>
          <w:p>
            <w:pPr>
              <w:spacing w:after="40"/>
            </w:pPr>
            <w:r>
              <w:rPr>
                <w:b/>
                <w:sz w:val="20"/>
              </w:rPr>
              <w:t>Cierre de referencia:</w:t>
            </w:r>
            <w:r>
              <w:rPr>
                <w:sz w:val="20"/>
              </w:rPr>
              <w:t xml:space="preserve"> 19 de septiembre.</w:t>
            </w:r>
          </w:p>
          <w:p>
            <w:pPr>
              <w:spacing w:after="40"/>
            </w:pPr>
            <w:r>
              <w:rPr>
                <w:b/>
                <w:sz w:val="20"/>
              </w:rPr>
              <w:t>Incremento esperado:</w:t>
            </w:r>
            <w:r>
              <w:rPr>
                <w:sz w:val="20"/>
              </w:rPr>
              <w:t xml:space="preserve"> sistema web mínimo con identidad, tres perfiles iniciales, catálogos, inventario sanguíneo ficticio, PostgreSQL y auditoría, ejecutado localmente sin contenedores.</w:t>
            </w:r>
          </w:p>
        </w:tc>
      </w:tr>
    </w:tbl>
    <w:p>
      <w:pPr>
        <w:spacing w:after="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936"/>
            <w:vAlign w:val="center"/>
            <w:shd w:fill="991B1B"/>
            <w:tcMar>
              <w:top w:w="95" w:type="dxa"/>
              <w:start w:w="105" w:type="dxa"/>
              <w:bottom w:w="95" w:type="dxa"/>
              <w:end w:w="105" w:type="dxa"/>
            </w:tcMar>
          </w:tcPr>
          <w:p>
            <w:pPr>
              <w:spacing w:after="0"/>
              <w:jc w:val="center"/>
            </w:pPr>
            <w:r>
              <w:rPr>
                <w:b/>
                <w:color w:val="FFFFFF"/>
                <w:sz w:val="19"/>
              </w:rPr>
              <w:t>ID</w:t>
            </w:r>
          </w:p>
        </w:tc>
        <w:tc>
          <w:tcPr>
            <w:tcW w:type="dxa" w:w="4824"/>
            <w:vAlign w:val="center"/>
            <w:shd w:fill="991B1B"/>
            <w:tcMar>
              <w:top w:w="95" w:type="dxa"/>
              <w:start w:w="105" w:type="dxa"/>
              <w:bottom w:w="95" w:type="dxa"/>
              <w:end w:w="105" w:type="dxa"/>
            </w:tcMar>
          </w:tcPr>
          <w:p>
            <w:pPr>
              <w:spacing w:after="0"/>
            </w:pPr>
            <w:r>
              <w:rPr>
                <w:b/>
                <w:color w:val="FFFFFF"/>
                <w:sz w:val="19"/>
              </w:rPr>
              <w:t>Tarea y criterio de cierre</w:t>
            </w:r>
          </w:p>
        </w:tc>
        <w:tc>
          <w:tcPr>
            <w:tcW w:type="dxa" w:w="2951"/>
            <w:vAlign w:val="center"/>
            <w:shd w:fill="991B1B"/>
            <w:tcMar>
              <w:top w:w="95" w:type="dxa"/>
              <w:start w:w="105" w:type="dxa"/>
              <w:bottom w:w="95" w:type="dxa"/>
              <w:end w:w="105" w:type="dxa"/>
            </w:tcMar>
          </w:tcPr>
          <w:p>
            <w:pPr>
              <w:spacing w:after="0"/>
            </w:pPr>
            <w:r>
              <w:rPr>
                <w:b/>
                <w:color w:val="FFFFFF"/>
                <w:sz w:val="19"/>
              </w:rPr>
              <w:t>Responsable, frente y dependencias</w:t>
            </w:r>
          </w:p>
        </w:tc>
        <w:tc>
          <w:tcPr>
            <w:tcW w:type="dxa" w:w="1512"/>
            <w:vAlign w:val="center"/>
            <w:shd w:fill="991B1B"/>
            <w:tcMar>
              <w:top w:w="95" w:type="dxa"/>
              <w:start w:w="105" w:type="dxa"/>
              <w:bottom w:w="95" w:type="dxa"/>
              <w:end w:w="105" w:type="dxa"/>
            </w:tcMar>
          </w:tcPr>
          <w:p>
            <w:pPr>
              <w:spacing w:after="0"/>
              <w:jc w:val="center"/>
            </w:pPr>
            <w:r>
              <w:rPr>
                <w:b/>
                <w:color w:val="FFFFFF"/>
                <w:sz w:val="19"/>
              </w:rPr>
              <w:t>Estado</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P1-01</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Aprobar el análisis, RF/RNF, historias, reglas y matriz de perfiles; completar casos de uso principales y matriz de trazabilidad.</w:t>
            </w:r>
            <w:r>
              <w:br/>
            </w:r>
            <w:r>
              <w:rPr>
                <w:b/>
                <w:sz w:val="19"/>
              </w:rPr>
              <w:t>Cierre:</w:t>
            </w:r>
            <w:r>
              <w:rPr>
                <w:sz w:val="19"/>
              </w:rPr>
              <w:t xml:space="preserve"> Documentos coherentes, IDs estables, criterios verificables y relaciones sin referencias inexistentes.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Alejandra Morón.</w:t>
            </w:r>
            <w:r>
              <w:br/>
            </w:r>
            <w:r>
              <w:rPr>
                <w:b/>
                <w:sz w:val="19"/>
              </w:rPr>
              <w:t>Frente:</w:t>
            </w:r>
            <w:r>
              <w:rPr>
                <w:sz w:val="19"/>
              </w:rPr>
              <w:t xml:space="preserve"> Análisis funcional y documentación.</w:t>
            </w:r>
            <w:r>
              <w:br/>
            </w:r>
            <w:r>
              <w:rPr>
                <w:b/>
                <w:sz w:val="19"/>
              </w:rPr>
              <w:t>Dependencias:</w:t>
            </w:r>
            <w:r>
              <w:rPr>
                <w:sz w:val="19"/>
              </w:rPr>
              <w:t xml:space="preserve"> borradores vigentes.</w:t>
            </w:r>
          </w:p>
        </w:tc>
        <w:tc>
          <w:tcPr>
            <w:tcW w:type="dxa" w:w="1512"/>
            <w:vAlign w:val="center"/>
            <w:tcMar>
              <w:top w:w="95" w:type="dxa"/>
              <w:start w:w="105" w:type="dxa"/>
              <w:bottom w:w="95" w:type="dxa"/>
              <w:end w:w="105" w:type="dxa"/>
            </w:tcMar>
            <w:shd w:fill="D1FAE5"/>
          </w:tcPr>
          <w:p>
            <w:pPr>
              <w:spacing w:after="0" w:line="259" w:lineRule="auto"/>
              <w:jc w:val="center"/>
            </w:pPr>
            <w:r>
              <w:rPr>
                <w:b/>
                <w:sz w:val="19"/>
              </w:rPr>
              <w:t>Terminado</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P1-02</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Diseñar contexto, contenedores, componentes, despliegue, red, secuencias, comunicación, autenticación y almacenamiento.</w:t>
            </w:r>
            <w:r>
              <w:br/>
            </w:r>
            <w:r>
              <w:rPr>
                <w:b/>
                <w:sz w:val="19"/>
              </w:rPr>
              <w:t>Cierre:</w:t>
            </w:r>
            <w:r>
              <w:rPr>
                <w:sz w:val="19"/>
              </w:rPr>
              <w:t xml:space="preserve"> Diagramas revisados y justificación de web, microservicios, datos, contenedores futuros, Compute Engine y posibles procesos de clúster, distinguiendo la ejecución local del primer parcial de la arquitectura objetivo.</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Galia Sejudo.</w:t>
            </w:r>
            <w:r>
              <w:br/>
            </w:r>
            <w:r>
              <w:rPr>
                <w:b/>
                <w:sz w:val="19"/>
              </w:rPr>
              <w:t>Frente:</w:t>
            </w:r>
            <w:r>
              <w:rPr>
                <w:sz w:val="19"/>
              </w:rPr>
              <w:t xml:space="preserve"> Arquitectura e integración.</w:t>
            </w:r>
            <w:r>
              <w:br/>
            </w:r>
            <w:r>
              <w:rPr>
                <w:b/>
                <w:sz w:val="19"/>
              </w:rPr>
              <w:t>Dependencias:</w:t>
            </w:r>
            <w:r>
              <w:rPr>
                <w:sz w:val="19"/>
              </w:rPr>
              <w:t xml:space="preserve"> </w:t>
            </w:r>
            <w:r>
              <w:rPr>
                <w:rFonts w:ascii="Menlo" w:hAnsi="Menlo" w:eastAsia="Menlo"/>
                <w:sz w:val="19"/>
              </w:rPr>
              <w:t>P1-01</w:t>
            </w:r>
            <w:r>
              <w:rPr>
                <w:sz w:val="19"/>
              </w:rPr>
              <w:t>.</w:t>
            </w:r>
          </w:p>
        </w:tc>
        <w:tc>
          <w:tcPr>
            <w:tcW w:type="dxa" w:w="1512"/>
            <w:vAlign w:val="center"/>
            <w:tcMar>
              <w:top w:w="95" w:type="dxa"/>
              <w:start w:w="105" w:type="dxa"/>
              <w:bottom w:w="95" w:type="dxa"/>
              <w:end w:w="105" w:type="dxa"/>
            </w:tcMar>
            <w:shd w:fill="D1FAE5"/>
          </w:tcPr>
          <w:p>
            <w:pPr>
              <w:spacing w:after="0" w:line="259" w:lineRule="auto"/>
              <w:jc w:val="center"/>
            </w:pPr>
            <w:r>
              <w:rPr>
                <w:b/>
                <w:sz w:val="19"/>
              </w:rPr>
              <w:t>Terminado</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P1-03</w:t>
            </w:r>
          </w:p>
        </w:tc>
        <w:tc>
          <w:tcPr>
            <w:tcW w:type="dxa" w:w="4824"/>
            <w:vAlign w:val="top"/>
            <w:tcMar>
              <w:top w:w="95" w:type="dxa"/>
              <w:start w:w="105" w:type="dxa"/>
              <w:bottom w:w="95" w:type="dxa"/>
              <w:end w:w="105" w:type="dxa"/>
            </w:tcMar>
          </w:tcPr>
          <w:p>
            <w:pPr>
              <w:spacing w:after="0" w:line="259" w:lineRule="auto"/>
            </w:pPr>
            <w:r>
              <w:rPr>
                <w:sz w:val="19"/>
                <w:b/>
              </w:rPr>
              <w:t xml:space="preserve">Tarea:</w:t>
            </w:r>
            <w:r>
              <w:rPr>
                <w:sz w:val="19"/>
              </w:rPr>
              <w:t xml:space="preserve"> Completar el diseño conceptual, lógico y físico inicial de PostgreSQL y registrar las fronteras conceptuales con los almacenes posteriores.</w:t>
            </w:r>
            <w:r>
              <w:br/>
            </w:r>
            <w:r>
              <w:rPr>
                <w:sz w:val="19"/>
                <w:b/>
              </w:rPr>
              <w:t xml:space="preserve">Cierre:</w:t>
            </w:r>
            <w:r>
              <w:rPr>
                <w:sz w:val="19"/>
              </w:rPr>
              <w:t xml:space="preserve"> Claves, restricciones, catálogos, auditoría y datos ficticios para PostgreSQL; distribución posterior de datos y archivos identificada sin diseñar ni implementar todavía MongoDB o Redis.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Victor Berlanga.</w:t>
            </w:r>
            <w:r>
              <w:br/>
            </w:r>
            <w:r>
              <w:rPr>
                <w:b/>
                <w:sz w:val="19"/>
              </w:rPr>
              <w:t>Frente:</w:t>
            </w:r>
            <w:r>
              <w:rPr>
                <w:sz w:val="19"/>
              </w:rPr>
              <w:t xml:space="preserve"> Datos y arquitectura.</w:t>
            </w:r>
            <w:r>
              <w:br/>
            </w:r>
            <w:r>
              <w:rPr>
                <w:b/>
                <w:sz w:val="19"/>
              </w:rPr>
              <w:t>Dependencias:</w:t>
            </w:r>
            <w:r>
              <w:rPr>
                <w:sz w:val="19"/>
              </w:rPr>
              <w:t xml:space="preserve"> </w:t>
            </w:r>
            <w:r>
              <w:rPr>
                <w:rFonts w:ascii="Menlo" w:hAnsi="Menlo" w:eastAsia="Menlo"/>
                <w:sz w:val="19"/>
              </w:rPr>
              <w:t>P1-01</w:t>
            </w:r>
            <w:r>
              <w:rPr>
                <w:sz w:val="19"/>
              </w:rPr>
              <w:t xml:space="preserve">, </w:t>
            </w:r>
            <w:r>
              <w:rPr>
                <w:rFonts w:ascii="Menlo" w:hAnsi="Menlo" w:eastAsia="Menlo"/>
                <w:sz w:val="19"/>
              </w:rPr>
              <w:t>P1-02</w:t>
            </w:r>
            <w:r>
              <w:rPr>
                <w:sz w:val="19"/>
              </w:rPr>
              <w:t>.</w:t>
            </w:r>
          </w:p>
        </w:tc>
        <w:tc>
          <w:tcPr>
            <w:tcW w:type="dxa" w:w="1512"/>
            <w:vAlign w:val="center"/>
            <w:tcMar>
              <w:top w:w="95" w:type="dxa"/>
              <w:start w:w="105" w:type="dxa"/>
              <w:bottom w:w="95" w:type="dxa"/>
              <w:end w:w="105" w:type="dxa"/>
            </w:tcMar>
            <w:shd w:fill="D1FAE5"/>
          </w:tcPr>
          <w:p>
            <w:pPr>
              <w:spacing w:after="0" w:line="259" w:lineRule="auto"/>
              <w:jc w:val="center"/>
            </w:pPr>
            <w:r>
              <w:rPr>
                <w:b/>
                <w:sz w:val="19"/>
              </w:rPr>
              <w:t>Terminado</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P1-04</w:t>
            </w:r>
          </w:p>
        </w:tc>
        <w:tc>
          <w:tcPr>
            <w:tcW w:type="dxa" w:w="4824"/>
            <w:vAlign w:val="top"/>
            <w:tcMar>
              <w:top w:w="95" w:type="dxa"/>
              <w:start w:w="105" w:type="dxa"/>
              <w:bottom w:w="95" w:type="dxa"/>
              <w:end w:w="105" w:type="dxa"/>
            </w:tcMar>
            <w:shd w:fill="F3F4F6"/>
          </w:tcPr>
          <w:p>
            <w:pPr>
              <w:spacing w:after="0" w:line="259" w:lineRule="auto"/>
            </w:pPr>
            <w:r>
              <w:rPr>
                <w:sz w:val="19"/>
                <w:b/>
              </w:rPr>
              <w:t xml:space="preserve">Tarea:</w:t>
            </w:r>
            <w:r>
              <w:rPr>
                <w:sz w:val="19"/>
              </w:rPr>
              <w:t xml:space="preserve"> Elaborar y revisar prototipos del sitio público, acceso, paneles iniciales, instituciones, tipos de componentes, inventario y auditoría.</w:t>
            </w:r>
            <w:r>
              <w:br/>
            </w:r>
            <w:r>
              <w:rPr>
                <w:sz w:val="19"/>
                <w:b/>
              </w:rPr>
              <w:t xml:space="preserve">Cierre:</w:t>
            </w:r>
            <w:r>
              <w:rPr>
                <w:sz w:val="19"/>
              </w:rPr>
              <w:t xml:space="preserve"> Prototipos responsive alineados con permisos y criterios de aceptación, sin presentarlos como funcionalidad terminada.</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Alejandra Morón.</w:t>
            </w:r>
            <w:r>
              <w:br/>
            </w:r>
            <w:r>
              <w:rPr>
                <w:b/>
                <w:sz w:val="19"/>
              </w:rPr>
              <w:t>Frente:</w:t>
            </w:r>
            <w:r>
              <w:rPr>
                <w:sz w:val="19"/>
              </w:rPr>
              <w:t xml:space="preserve"> Experiencia web y análisis funcional.</w:t>
            </w:r>
            <w:r>
              <w:br/>
            </w:r>
            <w:r>
              <w:rPr>
                <w:b/>
                <w:sz w:val="19"/>
              </w:rPr>
              <w:t>Dependencias:</w:t>
            </w:r>
            <w:r>
              <w:rPr>
                <w:sz w:val="19"/>
              </w:rPr>
              <w:t xml:space="preserve"> </w:t>
            </w:r>
            <w:r>
              <w:rPr>
                <w:rFonts w:ascii="Menlo" w:hAnsi="Menlo" w:eastAsia="Menlo"/>
                <w:sz w:val="19"/>
              </w:rPr>
              <w:t>P1-01</w:t>
            </w:r>
            <w:r>
              <w:rPr>
                <w:sz w:val="19"/>
              </w:rPr>
              <w:t>.</w:t>
            </w:r>
          </w:p>
        </w:tc>
        <w:tc>
          <w:tcPr>
            <w:tcW w:type="dxa" w:w="1512"/>
            <w:vAlign w:val="center"/>
            <w:tcMar>
              <w:top w:w="95" w:type="dxa"/>
              <w:start w:w="105" w:type="dxa"/>
              <w:bottom w:w="95" w:type="dxa"/>
              <w:end w:w="105" w:type="dxa"/>
            </w:tcMar>
            <w:shd w:fill="D1FAE5"/>
          </w:tcPr>
          <w:p>
            <w:pPr>
              <w:spacing w:after="0" w:line="259" w:lineRule="auto"/>
              <w:jc w:val="center"/>
            </w:pPr>
            <w:r>
              <w:rPr>
                <w:b/>
                <w:sz w:val="19"/>
              </w:rPr>
              <w:t>Terminado</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P1-05</w:t>
            </w:r>
          </w:p>
        </w:tc>
        <w:tc>
          <w:tcPr>
            <w:tcW w:type="dxa" w:w="4824"/>
            <w:vAlign w:val="top"/>
            <w:tcMar>
              <w:top w:w="95" w:type="dxa"/>
              <w:start w:w="105" w:type="dxa"/>
              <w:bottom w:w="95" w:type="dxa"/>
              <w:end w:w="105" w:type="dxa"/>
            </w:tcMar>
          </w:tcPr>
          <w:p>
            <w:pPr>
              <w:spacing w:after="0" w:line="259" w:lineRule="auto"/>
            </w:pPr>
            <w:r>
              <w:rPr>
                <w:sz w:val="19"/>
                <w:b/>
              </w:rPr>
              <w:t xml:space="preserve">Tarea:</w:t>
            </w:r>
            <w:r>
              <w:rPr>
                <w:sz w:val="19"/>
              </w:rPr>
              <w:t xml:space="preserve"> Configurar repositorio, ramas, incidencias, tablero, convenciones, dependencias y variables de entorno.</w:t>
            </w:r>
            <w:r>
              <w:br/>
            </w:r>
            <w:r>
              <w:rPr>
                <w:sz w:val="19"/>
                <w:b/>
              </w:rPr>
              <w:t xml:space="preserve">Cierre:</w:t>
            </w:r>
            <w:r>
              <w:rPr>
                <w:sz w:val="19"/>
              </w:rPr>
              <w:t xml:space="preserve"> Entorno local reproducible para el sistema web y PostgreSQL sin contenedores; secretos fuera del repositorio y procedimientos documentados.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Galia Sejudo.</w:t>
            </w:r>
            <w:r>
              <w:br/>
            </w:r>
            <w:r>
              <w:rPr>
                <w:b/>
                <w:sz w:val="19"/>
              </w:rPr>
              <w:t>Frente:</w:t>
            </w:r>
            <w:r>
              <w:rPr>
                <w:sz w:val="19"/>
              </w:rPr>
              <w:t xml:space="preserve"> Desarrollo y operación.</w:t>
            </w:r>
            <w:r>
              <w:br/>
            </w:r>
            <w:r>
              <w:rPr>
                <w:b/>
                <w:sz w:val="19"/>
              </w:rPr>
              <w:t>Dependencias:</w:t>
            </w:r>
            <w:r>
              <w:rPr>
                <w:sz w:val="19"/>
              </w:rPr>
              <w:t xml:space="preserve"> </w:t>
            </w:r>
            <w:r>
              <w:rPr>
                <w:rFonts w:ascii="Menlo" w:hAnsi="Menlo" w:eastAsia="Menlo"/>
                <w:sz w:val="19"/>
              </w:rPr>
              <w:t>P1-02</w:t>
            </w:r>
            <w:r>
              <w:rPr>
                <w:sz w:val="19"/>
              </w:rPr>
              <w:t>.</w:t>
            </w:r>
          </w:p>
        </w:tc>
        <w:tc>
          <w:tcPr>
            <w:tcW w:type="dxa" w:w="1512"/>
            <w:vAlign w:val="center"/>
            <w:tcMar>
              <w:top w:w="95" w:type="dxa"/>
              <w:start w:w="105" w:type="dxa"/>
              <w:bottom w:w="95" w:type="dxa"/>
              <w:end w:w="105" w:type="dxa"/>
            </w:tcMar>
            <w:shd w:fill="D1FAE5"/>
          </w:tcPr>
          <w:p>
            <w:pPr>
              <w:spacing w:after="0" w:line="259" w:lineRule="auto"/>
              <w:jc w:val="center"/>
            </w:pPr>
            <w:r>
              <w:rPr>
                <w:b/>
                <w:sz w:val="19"/>
              </w:rPr>
              <w:t>Terminado</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P1-06</w:t>
            </w:r>
          </w:p>
        </w:tc>
        <w:tc>
          <w:tcPr>
            <w:tcW w:type="dxa" w:w="4824"/>
            <w:vAlign w:val="top"/>
            <w:tcMar>
              <w:top w:w="95" w:type="dxa"/>
              <w:start w:w="105" w:type="dxa"/>
              <w:bottom w:w="95" w:type="dxa"/>
              <w:end w:w="105" w:type="dxa"/>
            </w:tcMar>
            <w:shd w:fill="F3F4F6"/>
          </w:tcPr>
          <w:p>
            <w:pPr>
              <w:spacing w:after="0" w:line="259" w:lineRule="auto"/>
            </w:pPr>
            <w:r>
              <w:rPr>
                <w:sz w:val="19"/>
                <w:b/>
              </w:rPr>
              <w:t xml:space="preserve">Tarea:</w:t>
            </w:r>
            <w:r>
              <w:rPr>
                <w:sz w:val="19"/>
              </w:rPr>
              <w:t xml:space="preserve"> Implementar la base web con Python, Flask, Jinja2, HTML5, CSS3 y JavaScript: página pública, inicio y cierre de sesión, JWT, menús y panel básico por perfil inicial.</w:t>
            </w:r>
            <w:r>
              <w:br/>
            </w:r>
            <w:r>
              <w:rPr>
                <w:sz w:val="19"/>
                <w:b/>
              </w:rPr>
              <w:t xml:space="preserve">Cierre:</w:t>
            </w:r>
            <w:r>
              <w:rPr>
                <w:sz w:val="19"/>
              </w:rPr>
              <w:t xml:space="preserve"> Administrador, Operador de banco de sangre y Auditor acceden solo a su menú y ámbito; la interfaz es responsive y maneja errores de forma segura.</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Alberto Reyna.</w:t>
            </w:r>
            <w:r>
              <w:br/>
            </w:r>
            <w:r>
              <w:rPr>
                <w:b/>
                <w:sz w:val="19"/>
              </w:rPr>
              <w:t>Frente:</w:t>
            </w:r>
            <w:r>
              <w:rPr>
                <w:sz w:val="19"/>
              </w:rPr>
              <w:t xml:space="preserve"> Sistema web y seguridad.</w:t>
            </w:r>
            <w:r>
              <w:br/>
            </w:r>
            <w:r>
              <w:rPr>
                <w:b/>
                <w:sz w:val="19"/>
              </w:rPr>
              <w:t>Dependencias:</w:t>
            </w:r>
            <w:r>
              <w:rPr>
                <w:sz w:val="19"/>
              </w:rPr>
              <w:t xml:space="preserve"> </w:t>
            </w:r>
            <w:r>
              <w:rPr>
                <w:rFonts w:ascii="Menlo" w:hAnsi="Menlo" w:eastAsia="Menlo"/>
                <w:sz w:val="19"/>
              </w:rPr>
              <w:t>P1-03</w:t>
            </w:r>
            <w:r>
              <w:rPr>
                <w:sz w:val="19"/>
              </w:rPr>
              <w:t xml:space="preserve">, </w:t>
            </w:r>
            <w:r>
              <w:rPr>
                <w:rFonts w:ascii="Menlo" w:hAnsi="Menlo" w:eastAsia="Menlo"/>
                <w:sz w:val="19"/>
              </w:rPr>
              <w:t>P1-04</w:t>
            </w:r>
            <w:r>
              <w:rPr>
                <w:sz w:val="19"/>
              </w:rPr>
              <w:t xml:space="preserve">, </w:t>
            </w:r>
            <w:r>
              <w:rPr>
                <w:rFonts w:ascii="Menlo" w:hAnsi="Menlo" w:eastAsia="Menlo"/>
                <w:sz w:val="19"/>
              </w:rPr>
              <w:t>P1-05</w:t>
            </w:r>
            <w:r>
              <w:rPr>
                <w:sz w:val="19"/>
              </w:rPr>
              <w:t>.</w:t>
            </w:r>
          </w:p>
        </w:tc>
        <w:tc>
          <w:tcPr>
            <w:tcW w:type="dxa" w:w="1512"/>
            <w:vAlign w:val="center"/>
            <w:tcMar>
              <w:top w:w="95" w:type="dxa"/>
              <w:start w:w="105" w:type="dxa"/>
              <w:bottom w:w="95" w:type="dxa"/>
              <w:end w:w="105" w:type="dxa"/>
            </w:tcMar>
            <w:shd w:fill="D1FAE5"/>
          </w:tcPr>
          <w:p>
            <w:pPr>
              <w:spacing w:after="0" w:line="259" w:lineRule="auto"/>
              <w:jc w:val="center"/>
            </w:pPr>
            <w:r>
              <w:rPr>
                <w:b/>
                <w:sz w:val="19"/>
              </w:rPr>
              <w:t>Terminado</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P1-07</w:t>
            </w:r>
          </w:p>
        </w:tc>
        <w:tc>
          <w:tcPr>
            <w:tcW w:type="dxa" w:w="4824"/>
            <w:vAlign w:val="top"/>
            <w:tcMar>
              <w:top w:w="95" w:type="dxa"/>
              <w:start w:w="105" w:type="dxa"/>
              <w:bottom w:w="95" w:type="dxa"/>
              <w:end w:w="105" w:type="dxa"/>
            </w:tcMar>
          </w:tcPr>
          <w:p>
            <w:pPr>
              <w:spacing w:after="0" w:line="259" w:lineRule="auto"/>
            </w:pPr>
            <w:r>
              <w:rPr>
                <w:sz w:val="19"/>
                <w:b/>
              </w:rPr>
              <w:t xml:space="preserve">Tarea:</w:t>
            </w:r>
            <w:r>
              <w:rPr>
                <w:sz w:val="19"/>
              </w:rPr>
              <w:t xml:space="preserve"> Implementar instituciones, tipos de componentes sanguíneos y gestión inicial del inventario ficticio con caducidad demostrativa.</w:t>
            </w:r>
            <w:r>
              <w:br/>
            </w:r>
            <w:r>
              <w:rPr>
                <w:sz w:val="19"/>
                <w:b/>
              </w:rPr>
              <w:t xml:space="preserve">Cierre:</w:t>
            </w:r>
            <w:r>
              <w:rPr>
                <w:sz w:val="19"/>
              </w:rPr>
              <w:t xml:space="preserve"> Altas y consultas reales en PostgreSQL, filtros básicos, cambios de estado controlados, historial y auditoría con datos ficticios.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Alberto Reyna.</w:t>
            </w:r>
            <w:r>
              <w:br/>
            </w:r>
            <w:r>
              <w:rPr>
                <w:b/>
                <w:sz w:val="19"/>
              </w:rPr>
              <w:t>Frente:</w:t>
            </w:r>
            <w:r>
              <w:rPr>
                <w:sz w:val="19"/>
              </w:rPr>
              <w:t xml:space="preserve"> Sistema web y datos.</w:t>
            </w:r>
            <w:r>
              <w:br/>
            </w:r>
            <w:r>
              <w:rPr>
                <w:b/>
                <w:sz w:val="19"/>
              </w:rPr>
              <w:t>Dependencias:</w:t>
            </w:r>
            <w:r>
              <w:rPr>
                <w:sz w:val="19"/>
              </w:rPr>
              <w:t xml:space="preserve"> </w:t>
            </w:r>
            <w:r>
              <w:rPr>
                <w:rFonts w:ascii="Menlo" w:hAnsi="Menlo" w:eastAsia="Menlo"/>
                <w:sz w:val="19"/>
              </w:rPr>
              <w:t>P1-03</w:t>
            </w:r>
            <w:r>
              <w:rPr>
                <w:sz w:val="19"/>
              </w:rPr>
              <w:t xml:space="preserve">, </w:t>
            </w:r>
            <w:r>
              <w:rPr>
                <w:rFonts w:ascii="Menlo" w:hAnsi="Menlo" w:eastAsia="Menlo"/>
                <w:sz w:val="19"/>
              </w:rPr>
              <w:t>P1-06</w:t>
            </w:r>
            <w:r>
              <w:rPr>
                <w:sz w:val="19"/>
              </w:rPr>
              <w:t>.</w:t>
            </w:r>
          </w:p>
        </w:tc>
        <w:tc>
          <w:tcPr>
            <w:tcW w:type="dxa" w:w="1512"/>
            <w:vAlign w:val="center"/>
            <w:tcMar>
              <w:top w:w="95" w:type="dxa"/>
              <w:start w:w="105" w:type="dxa"/>
              <w:bottom w:w="95" w:type="dxa"/>
              <w:end w:w="105" w:type="dxa"/>
            </w:tcMar>
            <w:shd w:fill="D1FAE5"/>
          </w:tcPr>
          <w:p>
            <w:pPr>
              <w:spacing w:after="0" w:line="259" w:lineRule="auto"/>
              <w:jc w:val="center"/>
            </w:pPr>
            <w:r>
              <w:rPr>
                <w:b/>
                <w:sz w:val="19"/>
              </w:rPr>
              <w:t>Terminado</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P1-08</w:t>
            </w:r>
          </w:p>
        </w:tc>
        <w:tc>
          <w:tcPr>
            <w:tcW w:type="dxa" w:w="4824"/>
            <w:vAlign w:val="top"/>
            <w:tcMar>
              <w:top w:w="95" w:type="dxa"/>
              <w:start w:w="105" w:type="dxa"/>
              <w:bottom w:w="95" w:type="dxa"/>
              <w:end w:w="105" w:type="dxa"/>
            </w:tcMar>
            <w:shd w:fill="F3F4F6"/>
          </w:tcPr>
          <w:p>
            <w:pPr>
              <w:spacing w:after="0" w:line="259" w:lineRule="auto"/>
            </w:pPr>
            <w:r>
              <w:rPr>
                <w:sz w:val="19"/>
                <w:b/>
              </w:rPr>
              <w:t xml:space="preserve">Tarea:</w:t>
            </w:r>
            <w:r>
              <w:rPr>
                <w:sz w:val="19"/>
              </w:rPr>
              <w:t xml:space="preserve"> Ejecutar pruebas, preparar datos iniciales y realizar la demostración técnica en el entorno local documentado.</w:t>
            </w:r>
            <w:r>
              <w:br/>
            </w:r>
            <w:r>
              <w:rPr>
                <w:sz w:val="19"/>
                <w:b/>
              </w:rPr>
              <w:t xml:space="preserve">Cierre:</w:t>
            </w:r>
            <w:r>
              <w:rPr>
                <w:sz w:val="19"/>
              </w:rPr>
              <w:t xml:space="preserve"> Inicio de sesión, acceso por perfil, dos catálogos, proceso de inventario, consulta, persistencia en PostgreSQL y auditoría demostrados sin maquetas ni contenedores.</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Alberto Reyna.</w:t>
            </w:r>
            <w:r>
              <w:br/>
            </w:r>
            <w:r>
              <w:rPr>
                <w:b/>
                <w:sz w:val="19"/>
              </w:rPr>
              <w:t>Frente:</w:t>
            </w:r>
            <w:r>
              <w:rPr>
                <w:sz w:val="19"/>
              </w:rPr>
              <w:t xml:space="preserve"> Calidad e integración.</w:t>
            </w:r>
            <w:r>
              <w:br/>
            </w:r>
            <w:r>
              <w:rPr>
                <w:b/>
                <w:sz w:val="19"/>
              </w:rPr>
              <w:t>Dependencias:</w:t>
            </w:r>
            <w:r>
              <w:rPr>
                <w:sz w:val="19"/>
              </w:rPr>
              <w:t xml:space="preserve"> </w:t>
            </w:r>
            <w:r>
              <w:rPr>
                <w:rFonts w:ascii="Menlo" w:hAnsi="Menlo" w:eastAsia="Menlo"/>
                <w:sz w:val="19"/>
              </w:rPr>
              <w:t>P1-05</w:t>
            </w:r>
            <w:r>
              <w:rPr>
                <w:sz w:val="19"/>
              </w:rPr>
              <w:t xml:space="preserve">, </w:t>
            </w:r>
            <w:r>
              <w:rPr>
                <w:rFonts w:ascii="Menlo" w:hAnsi="Menlo" w:eastAsia="Menlo"/>
                <w:sz w:val="19"/>
              </w:rPr>
              <w:t>P1-06</w:t>
            </w:r>
            <w:r>
              <w:rPr>
                <w:sz w:val="19"/>
              </w:rPr>
              <w:t xml:space="preserve">, </w:t>
            </w:r>
            <w:r>
              <w:rPr>
                <w:rFonts w:ascii="Menlo" w:hAnsi="Menlo" w:eastAsia="Menlo"/>
                <w:sz w:val="19"/>
              </w:rPr>
              <w:t>P1-07</w:t>
            </w:r>
            <w:r>
              <w:rPr>
                <w:sz w:val="19"/>
              </w:rPr>
              <w:t>.</w:t>
            </w:r>
          </w:p>
        </w:tc>
        <w:tc>
          <w:tcPr>
            <w:tcW w:type="dxa" w:w="1512"/>
            <w:vAlign w:val="center"/>
            <w:tcMar>
              <w:top w:w="95" w:type="dxa"/>
              <w:start w:w="105" w:type="dxa"/>
              <w:bottom w:w="95" w:type="dxa"/>
              <w:end w:w="105" w:type="dxa"/>
            </w:tcMar>
            <w:shd w:fill="D1FAE5"/>
          </w:tcPr>
          <w:p>
            <w:pPr>
              <w:spacing w:after="0" w:line="259" w:lineRule="auto"/>
              <w:jc w:val="center"/>
            </w:pPr>
            <w:r>
              <w:rPr>
                <w:b/>
                <w:sz w:val="19"/>
              </w:rPr>
              <w:t>Terminado</w:t>
            </w:r>
          </w:p>
        </w:tc>
      </w:tr>
    </w:tbl>
    <w:p>
      <w:pPr>
        <w:spacing w:after="0"/>
      </w:pPr>
    </w:p>
    <w:p>
      <w:pPr>
        <w:pStyle w:val="Heading2"/>
      </w:pPr>
      <w:r>
        <w:t>3.1 Requerimientos relacionados</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224"/>
            <w:vAlign w:val="center"/>
            <w:shd w:fill="991B1B"/>
            <w:tcMar>
              <w:top w:w="95" w:type="dxa"/>
              <w:start w:w="105" w:type="dxa"/>
              <w:bottom w:w="95" w:type="dxa"/>
              <w:end w:w="105" w:type="dxa"/>
            </w:tcMar>
          </w:tcPr>
          <w:p>
            <w:pPr>
              <w:spacing w:after="0"/>
            </w:pPr>
            <w:r>
              <w:rPr>
                <w:b/>
                <w:color w:val="FFFFFF"/>
                <w:sz w:val="19"/>
              </w:rPr>
              <w:t>ID</w:t>
            </w:r>
          </w:p>
        </w:tc>
        <w:tc>
          <w:tcPr>
            <w:tcW w:type="dxa" w:w="9000"/>
            <w:vAlign w:val="center"/>
            <w:shd w:fill="991B1B"/>
            <w:tcMar>
              <w:top w:w="95" w:type="dxa"/>
              <w:start w:w="105" w:type="dxa"/>
              <w:bottom w:w="95" w:type="dxa"/>
              <w:end w:w="105" w:type="dxa"/>
            </w:tcMar>
          </w:tcPr>
          <w:p>
            <w:pPr>
              <w:spacing w:after="0"/>
            </w:pPr>
            <w:r>
              <w:rPr>
                <w:b/>
                <w:color w:val="FFFFFF"/>
                <w:sz w:val="19"/>
              </w:rPr>
              <w:t>RF/RNF relacionados</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P1-01</w:t>
            </w:r>
          </w:p>
        </w:tc>
        <w:tc>
          <w:tcPr>
            <w:tcW w:type="dxa" w:w="9000"/>
            <w:vAlign w:val="top"/>
            <w:tcMar>
              <w:top w:w="95" w:type="dxa"/>
              <w:start w:w="105" w:type="dxa"/>
              <w:bottom w:w="95" w:type="dxa"/>
              <w:end w:w="105" w:type="dxa"/>
            </w:tcMar>
          </w:tcPr>
          <w:p>
            <w:pPr>
              <w:spacing w:after="0" w:line="259" w:lineRule="auto"/>
            </w:pPr>
            <w:r>
              <w:rPr>
                <w:sz w:val="19"/>
              </w:rPr>
              <w:t>RF-WEB-001 a RF-WEB-018; RNF-WEB-001 a RNF-WEB-004; RF-MS-001 a RF-MS-009; RNF-MS-001 a RNF-MS-006; RF-MOV-001 a RF-MOV-007; RNF-MOV-001 a RNF-MOV-004; RF-DESK-001 a RF-DESK-007; RNF-DESK-001 a RNF-DESK-004; RF-DAT-001 a RF-DAT-005; RNF-DAT-001 a RNF-DAT-004; RNF-INF-001 a RNF-INF-008; RF-SEC-001 a RF-SEC-003; RNF-SEC-001 a RNF-SEC-008; RF-MON-001 a RF-MON-004; RNF-MON-001 a RNF-MON-003.</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P1-02</w:t>
            </w:r>
          </w:p>
        </w:tc>
        <w:tc>
          <w:tcPr>
            <w:tcW w:type="dxa" w:w="9000"/>
            <w:vAlign w:val="top"/>
            <w:tcMar>
              <w:top w:w="95" w:type="dxa"/>
              <w:start w:w="105" w:type="dxa"/>
              <w:bottom w:w="95" w:type="dxa"/>
              <w:end w:w="105" w:type="dxa"/>
            </w:tcMar>
            <w:shd w:fill="F3F4F6"/>
          </w:tcPr>
          <w:p>
            <w:pPr>
              <w:spacing w:after="0" w:line="259" w:lineRule="auto"/>
            </w:pPr>
            <w:r>
              <w:rPr>
                <w:sz w:val="19"/>
              </w:rPr>
              <w:t>RNF-WEB-002; RNF-MS-001, RNF-MS-005; RNF-MOV-001; RNF-DESK-001, RNF-DESK-002; RNF-DAT-001; RNF-INF-003 a RNF-INF-007; RNF-SEC-002, RNF-SEC-005; RNF-MON-002, RNF-MON-003.</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P1-03</w:t>
            </w:r>
          </w:p>
        </w:tc>
        <w:tc>
          <w:tcPr>
            <w:tcW w:type="dxa" w:w="9000"/>
            <w:vAlign w:val="top"/>
            <w:tcMar>
              <w:top w:w="95" w:type="dxa"/>
              <w:start w:w="105" w:type="dxa"/>
              <w:bottom w:w="95" w:type="dxa"/>
              <w:end w:w="105" w:type="dxa"/>
            </w:tcMar>
          </w:tcPr>
          <w:p>
            <w:pPr>
              <w:spacing w:after="0" w:line="259" w:lineRule="auto"/>
            </w:pPr>
            <w:r>
              <w:rPr>
                <w:sz w:val="19"/>
              </w:rPr>
              <w:t>RF-DAT-001, RF-DAT-005; RNF-DAT-001, RNF-DAT-002, RNF-DAT-004; RF-WEB-005, RF-WEB-008, RF-WEB-018; RF-SEC-003.</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P1-04</w:t>
            </w:r>
          </w:p>
        </w:tc>
        <w:tc>
          <w:tcPr>
            <w:tcW w:type="dxa" w:w="9000"/>
            <w:vAlign w:val="top"/>
            <w:tcMar>
              <w:top w:w="95" w:type="dxa"/>
              <w:start w:w="105" w:type="dxa"/>
              <w:bottom w:w="95" w:type="dxa"/>
              <w:end w:w="105" w:type="dxa"/>
            </w:tcMar>
            <w:shd w:fill="F3F4F6"/>
          </w:tcPr>
          <w:p>
            <w:pPr>
              <w:spacing w:after="0" w:line="259" w:lineRule="auto"/>
            </w:pPr>
            <w:r>
              <w:rPr>
                <w:sz w:val="19"/>
              </w:rPr>
              <w:t>RF-WEB-001 a RF-WEB-005; RF-WEB-008, RF-WEB-015, RF-WEB-018; RNF-WEB-003, RNF-WEB-004; RF-SEC-002; RNF-SEC-002, RNF-SEC-006.</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P1-05</w:t>
            </w:r>
          </w:p>
        </w:tc>
        <w:tc>
          <w:tcPr>
            <w:tcW w:type="dxa" w:w="9000"/>
            <w:vAlign w:val="top"/>
            <w:tcMar>
              <w:top w:w="95" w:type="dxa"/>
              <w:start w:w="105" w:type="dxa"/>
              <w:bottom w:w="95" w:type="dxa"/>
              <w:end w:w="105" w:type="dxa"/>
            </w:tcMar>
          </w:tcPr>
          <w:p>
            <w:pPr>
              <w:spacing w:after="0" w:line="259" w:lineRule="auto"/>
            </w:pPr>
            <w:r>
              <w:rPr>
                <w:sz w:val="19"/>
              </w:rPr>
              <w:t>RNF-INF-001, RNF-INF-002; RNF-SEC-005.</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P1-06</w:t>
            </w:r>
          </w:p>
        </w:tc>
        <w:tc>
          <w:tcPr>
            <w:tcW w:type="dxa" w:w="9000"/>
            <w:vAlign w:val="top"/>
            <w:tcMar>
              <w:top w:w="95" w:type="dxa"/>
              <w:start w:w="105" w:type="dxa"/>
              <w:bottom w:w="95" w:type="dxa"/>
              <w:end w:w="105" w:type="dxa"/>
            </w:tcMar>
            <w:shd w:fill="F3F4F6"/>
          </w:tcPr>
          <w:p>
            <w:pPr>
              <w:spacing w:after="0" w:line="259" w:lineRule="auto"/>
            </w:pPr>
            <w:r>
              <w:rPr>
                <w:sz w:val="19"/>
              </w:rPr>
              <w:t>RF-WEB-001 a RF-WEB-003; RF-WEB-015; RNF-WEB-001 a RNF-WEB-004; RF-SEC-001 a RF-SEC-003; RNF-SEC-001 a RNF-SEC-006.</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P1-07</w:t>
            </w:r>
          </w:p>
        </w:tc>
        <w:tc>
          <w:tcPr>
            <w:tcW w:type="dxa" w:w="9000"/>
            <w:vAlign w:val="top"/>
            <w:tcMar>
              <w:top w:w="95" w:type="dxa"/>
              <w:start w:w="105" w:type="dxa"/>
              <w:bottom w:w="95" w:type="dxa"/>
              <w:end w:w="105" w:type="dxa"/>
            </w:tcMar>
          </w:tcPr>
          <w:p>
            <w:pPr>
              <w:spacing w:after="0" w:line="259" w:lineRule="auto"/>
            </w:pPr>
            <w:r>
              <w:rPr>
                <w:sz w:val="19"/>
              </w:rPr>
              <w:t>RF-WEB-004, RF-WEB-005, RF-WEB-008, RF-WEB-018; RF-DAT-001, RF-DAT-005; RNF-WEB-003, RNF-WEB-004; RNF-SEC-002, RNF-SEC-003, RNF-SEC-006.</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P1-08</w:t>
            </w:r>
          </w:p>
        </w:tc>
        <w:tc>
          <w:tcPr>
            <w:tcW w:type="dxa" w:w="9000"/>
            <w:vAlign w:val="top"/>
            <w:tcMar>
              <w:top w:w="95" w:type="dxa"/>
              <w:start w:w="105" w:type="dxa"/>
              <w:bottom w:w="95" w:type="dxa"/>
              <w:end w:w="105" w:type="dxa"/>
            </w:tcMar>
            <w:shd w:fill="F3F4F6"/>
          </w:tcPr>
          <w:p>
            <w:pPr>
              <w:spacing w:after="0" w:line="259" w:lineRule="auto"/>
            </w:pPr>
            <w:r>
              <w:rPr>
                <w:sz w:val="19"/>
              </w:rPr>
              <w:t>RF-WEB-001 a RF-WEB-005; RF-WEB-008, RF-WEB-015, RF-WEB-018; RF-DAT-001, RF-DAT-005; RF-SEC-001 a RF-SEC-003; RNF-WEB-001 a RNF-WEB-004; RNF-INF-001, RNF-INF-002, RNF-INF-008; RNF-SEC-001 a RNF-SEC-006.</w:t>
            </w:r>
          </w:p>
        </w:tc>
      </w:tr>
    </w:tbl>
    <w:p>
      <w:pPr>
        <w:spacing w:after="0"/>
      </w:pPr>
    </w:p>
    <w:p>
      <w:pPr>
        <w:pStyle w:val="Heading1"/>
        <w:pageBreakBefore/>
      </w:pPr>
      <w:r>
        <w:t>4. Sprint 2 — Segundo parcial</w:t>
      </w:r>
    </w:p>
    <w:tbl>
      <w:tblPr>
        <w:tblStyle w:val="TableGrid"/>
        <w:tblW w:type="auto" w:w="0"/>
        <w:jc w:val="center"/>
        <w:tblLook w:firstColumn="1" w:firstRow="1" w:lastColumn="0" w:lastRow="0" w:noHBand="0" w:noVBand="1" w:val="04A0"/>
      </w:tblPr>
      <w:tblGrid>
        <w:gridCol w:w="10224"/>
      </w:tblGrid>
      <w:tr>
        <w:tc>
          <w:tcPr>
            <w:tcW w:type="dxa" w:w="10224"/>
            <w:shd w:fill="F8FAFC"/>
            <w:tcMar>
              <w:top w:w="110" w:type="dxa"/>
              <w:start w:w="145" w:type="dxa"/>
              <w:bottom w:w="110" w:type="dxa"/>
              <w:end w:w="145" w:type="dxa"/>
            </w:tcMar>
          </w:tcPr>
          <w:p>
            <w:pPr>
              <w:spacing w:after="40"/>
            </w:pPr>
            <w:r>
              <w:rPr>
                <w:b/>
                <w:sz w:val="20"/>
              </w:rPr>
              <w:t>Objetivo:</w:t>
            </w:r>
            <w:r>
              <w:rPr>
                <w:sz w:val="20"/>
              </w:rPr>
              <w:t xml:space="preserve"> transformar la base inicial en una solución distribuida.</w:t>
            </w:r>
          </w:p>
          <w:p>
            <w:pPr>
              <w:spacing w:after="40"/>
            </w:pPr>
            <w:r>
              <w:rPr>
                <w:b/>
                <w:sz w:val="20"/>
              </w:rPr>
              <w:t>Cierre de referencia:</w:t>
            </w:r>
            <w:r>
              <w:rPr>
                <w:sz w:val="20"/>
              </w:rPr>
              <w:t xml:space="preserve"> 24 de octubre.</w:t>
            </w:r>
          </w:p>
          <w:p>
            <w:pPr>
              <w:spacing w:after="40"/>
            </w:pPr>
            <w:r>
              <w:rPr>
                <w:b/>
                <w:sz w:val="20"/>
              </w:rPr>
              <w:t>Incremento esperado:</w:t>
            </w:r>
            <w:r>
              <w:rPr>
                <w:sz w:val="20"/>
              </w:rPr>
              <w:t xml:space="preserve"> web ampliada, microservicios, aplicación móvil y aplicación de escritorio comunicados mediante JSON y XML, con JWT, Redis, MongoDB, Docker y contratos documentados.</w:t>
            </w:r>
          </w:p>
        </w:tc>
      </w:tr>
    </w:tbl>
    <w:p>
      <w:pPr>
        <w:spacing w:after="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936"/>
            <w:vAlign w:val="center"/>
            <w:shd w:fill="991B1B"/>
            <w:tcMar>
              <w:top w:w="95" w:type="dxa"/>
              <w:start w:w="105" w:type="dxa"/>
              <w:bottom w:w="95" w:type="dxa"/>
              <w:end w:w="105" w:type="dxa"/>
            </w:tcMar>
          </w:tcPr>
          <w:p>
            <w:pPr>
              <w:spacing w:after="0"/>
              <w:jc w:val="center"/>
            </w:pPr>
            <w:r>
              <w:rPr>
                <w:b/>
                <w:color w:val="FFFFFF"/>
                <w:sz w:val="19"/>
              </w:rPr>
              <w:t>ID</w:t>
            </w:r>
          </w:p>
        </w:tc>
        <w:tc>
          <w:tcPr>
            <w:tcW w:type="dxa" w:w="4824"/>
            <w:vAlign w:val="center"/>
            <w:shd w:fill="991B1B"/>
            <w:tcMar>
              <w:top w:w="95" w:type="dxa"/>
              <w:start w:w="105" w:type="dxa"/>
              <w:bottom w:w="95" w:type="dxa"/>
              <w:end w:w="105" w:type="dxa"/>
            </w:tcMar>
          </w:tcPr>
          <w:p>
            <w:pPr>
              <w:spacing w:after="0"/>
            </w:pPr>
            <w:r>
              <w:rPr>
                <w:b/>
                <w:color w:val="FFFFFF"/>
                <w:sz w:val="19"/>
              </w:rPr>
              <w:t>Tarea y criterio de cierre</w:t>
            </w:r>
          </w:p>
        </w:tc>
        <w:tc>
          <w:tcPr>
            <w:tcW w:type="dxa" w:w="2951"/>
            <w:vAlign w:val="center"/>
            <w:shd w:fill="991B1B"/>
            <w:tcMar>
              <w:top w:w="95" w:type="dxa"/>
              <w:start w:w="105" w:type="dxa"/>
              <w:bottom w:w="95" w:type="dxa"/>
              <w:end w:w="105" w:type="dxa"/>
            </w:tcMar>
          </w:tcPr>
          <w:p>
            <w:pPr>
              <w:spacing w:after="0"/>
            </w:pPr>
            <w:r>
              <w:rPr>
                <w:b/>
                <w:color w:val="FFFFFF"/>
                <w:sz w:val="19"/>
              </w:rPr>
              <w:t>Responsable, frente y dependencias</w:t>
            </w:r>
          </w:p>
        </w:tc>
        <w:tc>
          <w:tcPr>
            <w:tcW w:type="dxa" w:w="1512"/>
            <w:vAlign w:val="center"/>
            <w:shd w:fill="991B1B"/>
            <w:tcMar>
              <w:top w:w="95" w:type="dxa"/>
              <w:start w:w="105" w:type="dxa"/>
              <w:bottom w:w="95" w:type="dxa"/>
              <w:end w:w="105" w:type="dxa"/>
            </w:tcMar>
          </w:tcPr>
          <w:p>
            <w:pPr>
              <w:spacing w:after="0"/>
              <w:jc w:val="center"/>
            </w:pPr>
            <w:r>
              <w:rPr>
                <w:b/>
                <w:color w:val="FFFFFF"/>
                <w:sz w:val="19"/>
              </w:rPr>
              <w:t>Estado</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P2-01</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Confirmar Java o Kotlin para Android, la tecnología de escritorio, los límites de los microservicios y la estrategia de contenedores Docker; definir contratos versionados JSON y XML, esquemas XSD, errores y autenticación.</w:t>
            </w:r>
            <w:r>
              <w:br/>
            </w:r>
            <w:r>
              <w:rPr>
                <w:b/>
                <w:sz w:val="19"/>
              </w:rPr>
              <w:t>Cierre:</w:t>
            </w:r>
            <w:r>
              <w:rPr>
                <w:sz w:val="19"/>
              </w:rPr>
              <w:t xml:space="preserve"> Decisiones registradas, contratos de solicitud y respuesta, ejemplos de ambos formatos, criterios de compatibilidad hacia atrás y distribución local de contenedores definida.</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Galia Sejudo.</w:t>
            </w:r>
            <w:r>
              <w:br/>
            </w:r>
            <w:r>
              <w:rPr>
                <w:b/>
                <w:sz w:val="19"/>
              </w:rPr>
              <w:t>Frente:</w:t>
            </w:r>
            <w:r>
              <w:rPr>
                <w:sz w:val="19"/>
              </w:rPr>
              <w:t xml:space="preserve"> Arquitectura e integración.</w:t>
            </w:r>
            <w:r>
              <w:br/>
            </w:r>
            <w:r>
              <w:rPr>
                <w:b/>
                <w:sz w:val="19"/>
              </w:rPr>
              <w:t>Dependencias:</w:t>
            </w:r>
            <w:r>
              <w:rPr>
                <w:sz w:val="19"/>
              </w:rPr>
              <w:t xml:space="preserve"> cierre de Sprint 1, reglas y modelos aprobados.</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P2-02</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Implementar con Flask y REST versionado los microservicios necesarios para los flujos priorizados, cada uno con responsabilidad y contenedor propios.</w:t>
            </w:r>
            <w:r>
              <w:br/>
            </w:r>
            <w:r>
              <w:rPr>
                <w:b/>
                <w:sz w:val="19"/>
              </w:rPr>
              <w:t>Cierre:</w:t>
            </w:r>
            <w:r>
              <w:rPr>
                <w:sz w:val="19"/>
              </w:rPr>
              <w:t xml:space="preserve"> Rutas versionadas, validación, JSON y XML, códigos HTTP, correlación, logs, límites de consumo, OpenAPI y endpoints de salud por servicio.</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Victor Berlanga.</w:t>
            </w:r>
            <w:r>
              <w:br/>
            </w:r>
            <w:r>
              <w:rPr>
                <w:b/>
                <w:sz w:val="19"/>
              </w:rPr>
              <w:t>Frente:</w:t>
            </w:r>
            <w:r>
              <w:rPr>
                <w:sz w:val="19"/>
              </w:rPr>
              <w:t xml:space="preserve"> Microservicios.</w:t>
            </w:r>
            <w:r>
              <w:br/>
            </w:r>
            <w:r>
              <w:rPr>
                <w:b/>
                <w:sz w:val="19"/>
              </w:rPr>
              <w:t>Dependencias:</w:t>
            </w:r>
            <w:r>
              <w:rPr>
                <w:sz w:val="19"/>
              </w:rPr>
              <w:t xml:space="preserve"> </w:t>
            </w:r>
            <w:r>
              <w:rPr>
                <w:rFonts w:ascii="Menlo" w:hAnsi="Menlo" w:eastAsia="Menlo"/>
                <w:sz w:val="19"/>
              </w:rPr>
              <w:t>P2-01</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P2-03</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Implementar autenticación y autorización comunes con JWT y Redis.</w:t>
            </w:r>
            <w:r>
              <w:br/>
            </w:r>
            <w:r>
              <w:rPr>
                <w:b/>
                <w:sz w:val="19"/>
              </w:rPr>
              <w:t>Cierre:</w:t>
            </w:r>
            <w:r>
              <w:rPr>
                <w:sz w:val="19"/>
              </w:rPr>
              <w:t xml:space="preserve"> Inicio, renovación, expiración, revocación, permisos y ámbitos validados en peticiones protegidas; intentos relevantes auditados.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Galia Sejudo.</w:t>
            </w:r>
            <w:r>
              <w:br/>
            </w:r>
            <w:r>
              <w:rPr>
                <w:b/>
                <w:sz w:val="19"/>
              </w:rPr>
              <w:t>Frente:</w:t>
            </w:r>
            <w:r>
              <w:rPr>
                <w:sz w:val="19"/>
              </w:rPr>
              <w:t xml:space="preserve"> Seguridad y microservicios.</w:t>
            </w:r>
            <w:r>
              <w:br/>
            </w:r>
            <w:r>
              <w:rPr>
                <w:b/>
                <w:sz w:val="19"/>
              </w:rPr>
              <w:t>Dependencias:</w:t>
            </w:r>
            <w:r>
              <w:rPr>
                <w:sz w:val="19"/>
              </w:rPr>
              <w:t xml:space="preserve"> </w:t>
            </w:r>
            <w:r>
              <w:rPr>
                <w:rFonts w:ascii="Menlo" w:hAnsi="Menlo" w:eastAsia="Menlo"/>
                <w:sz w:val="19"/>
              </w:rPr>
              <w:t>P2-01</w:t>
            </w:r>
            <w:r>
              <w:rPr>
                <w:sz w:val="19"/>
              </w:rPr>
              <w:t xml:space="preserve">, </w:t>
            </w:r>
            <w:r>
              <w:rPr>
                <w:rFonts w:ascii="Menlo" w:hAnsi="Menlo" w:eastAsia="Menlo"/>
                <w:sz w:val="19"/>
              </w:rPr>
              <w:t>P2-02</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P2-04</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Ampliar el sistema web con perfiles posteriores, procesos autorizados, búsquedas, filtros, paginación, reportes, gráficas Highcharts, archivos, notificaciones e historial.</w:t>
            </w:r>
            <w:r>
              <w:br/>
            </w:r>
            <w:r>
              <w:rPr>
                <w:b/>
                <w:sz w:val="19"/>
              </w:rPr>
              <w:t>Cierre:</w:t>
            </w:r>
            <w:r>
              <w:rPr>
                <w:sz w:val="19"/>
              </w:rPr>
              <w:t xml:space="preserve"> Procesos persistentes y autorizados; el sistema web continúa operando aunque los clientes no estén disponibles.</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Alejandra Morón.</w:t>
            </w:r>
            <w:r>
              <w:br/>
            </w:r>
            <w:r>
              <w:rPr>
                <w:b/>
                <w:sz w:val="19"/>
              </w:rPr>
              <w:t>Frente:</w:t>
            </w:r>
            <w:r>
              <w:rPr>
                <w:sz w:val="19"/>
              </w:rPr>
              <w:t xml:space="preserve"> Sistema web.</w:t>
            </w:r>
            <w:r>
              <w:br/>
            </w:r>
            <w:r>
              <w:rPr>
                <w:b/>
                <w:sz w:val="19"/>
              </w:rPr>
              <w:t>Dependencias:</w:t>
            </w:r>
            <w:r>
              <w:rPr>
                <w:sz w:val="19"/>
              </w:rPr>
              <w:t xml:space="preserve"> </w:t>
            </w:r>
            <w:r>
              <w:rPr>
                <w:rFonts w:ascii="Menlo" w:hAnsi="Menlo" w:eastAsia="Menlo"/>
                <w:sz w:val="19"/>
              </w:rPr>
              <w:t>P2-01</w:t>
            </w:r>
            <w:r>
              <w:rPr>
                <w:sz w:val="19"/>
              </w:rPr>
              <w:t xml:space="preserve">, </w:t>
            </w:r>
            <w:r>
              <w:rPr>
                <w:rFonts w:ascii="Menlo" w:hAnsi="Menlo" w:eastAsia="Menlo"/>
                <w:sz w:val="19"/>
              </w:rPr>
              <w:t>P2-02</w:t>
            </w:r>
            <w:r>
              <w:rPr>
                <w:sz w:val="19"/>
              </w:rPr>
              <w:t xml:space="preserve">, </w:t>
            </w:r>
            <w:r>
              <w:rPr>
                <w:rFonts w:ascii="Menlo" w:hAnsi="Menlo" w:eastAsia="Menlo"/>
                <w:sz w:val="19"/>
              </w:rPr>
              <w:t>P2-03</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P2-05</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Construir la aplicación móvil para registro preliminar, campañas, citas y avisos del Donante, y para escaneo, recolección, entrega, ubicación y evidencia del Personal de traslado.</w:t>
            </w:r>
            <w:r>
              <w:br/>
            </w:r>
            <w:r>
              <w:rPr>
                <w:b/>
                <w:sz w:val="19"/>
              </w:rPr>
              <w:t>Cierre:</w:t>
            </w:r>
            <w:r>
              <w:rPr>
                <w:sz w:val="19"/>
              </w:rPr>
              <w:t xml:space="preserve"> Consumo exclusivo de JSON y al menos cuatro microservicios; sesión segura, menú por rol, formularios, conectividad, cierre y dos capacidades pertinentes del dispositivo.</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Galia Sejudo.</w:t>
            </w:r>
            <w:r>
              <w:br/>
            </w:r>
            <w:r>
              <w:rPr>
                <w:b/>
                <w:sz w:val="19"/>
              </w:rPr>
              <w:t>Frente:</w:t>
            </w:r>
            <w:r>
              <w:rPr>
                <w:sz w:val="19"/>
              </w:rPr>
              <w:t xml:space="preserve"> Aplicación móvil.</w:t>
            </w:r>
            <w:r>
              <w:br/>
            </w:r>
            <w:r>
              <w:rPr>
                <w:b/>
                <w:sz w:val="19"/>
              </w:rPr>
              <w:t>Dependencias:</w:t>
            </w:r>
            <w:r>
              <w:rPr>
                <w:sz w:val="19"/>
              </w:rPr>
              <w:t xml:space="preserve"> </w:t>
            </w:r>
            <w:r>
              <w:rPr>
                <w:rFonts w:ascii="Menlo" w:hAnsi="Menlo" w:eastAsia="Menlo"/>
                <w:sz w:val="19"/>
              </w:rPr>
              <w:t>P2-01</w:t>
            </w:r>
            <w:r>
              <w:rPr>
                <w:sz w:val="19"/>
              </w:rPr>
              <w:t xml:space="preserve">, </w:t>
            </w:r>
            <w:r>
              <w:rPr>
                <w:rFonts w:ascii="Menlo" w:hAnsi="Menlo" w:eastAsia="Menlo"/>
                <w:sz w:val="19"/>
              </w:rPr>
              <w:t>P2-02</w:t>
            </w:r>
            <w:r>
              <w:rPr>
                <w:sz w:val="19"/>
              </w:rPr>
              <w:t xml:space="preserve">, </w:t>
            </w:r>
            <w:r>
              <w:rPr>
                <w:rFonts w:ascii="Menlo" w:hAnsi="Menlo" w:eastAsia="Menlo"/>
                <w:sz w:val="19"/>
              </w:rPr>
              <w:t>P2-03</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P2-06</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Construir la aplicación de escritorio para unidades, pruebas, inventario, revisión autorizada, etiquetas, custodia y reportes del Operador de banco de sangre y el Coordinador regional.</w:t>
            </w:r>
            <w:r>
              <w:br/>
            </w:r>
            <w:r>
              <w:rPr>
                <w:b/>
                <w:sz w:val="19"/>
              </w:rPr>
              <w:t>Cierre:</w:t>
            </w:r>
            <w:r>
              <w:rPr>
                <w:sz w:val="19"/>
              </w:rPr>
              <w:t xml:space="preserve"> Consumo exclusivo de XML validado con XSD y al menos cuatro microservicios; captura, consulta, filtros, exportación e impresión dentro de un proceso distinto al móvil.</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Alejandra Morón.</w:t>
            </w:r>
            <w:r>
              <w:br/>
            </w:r>
            <w:r>
              <w:rPr>
                <w:b/>
                <w:sz w:val="19"/>
              </w:rPr>
              <w:t>Frente:</w:t>
            </w:r>
            <w:r>
              <w:rPr>
                <w:sz w:val="19"/>
              </w:rPr>
              <w:t xml:space="preserve"> Aplicación de escritorio.</w:t>
            </w:r>
            <w:r>
              <w:br/>
            </w:r>
            <w:r>
              <w:rPr>
                <w:b/>
                <w:sz w:val="19"/>
              </w:rPr>
              <w:t>Dependencias:</w:t>
            </w:r>
            <w:r>
              <w:rPr>
                <w:sz w:val="19"/>
              </w:rPr>
              <w:t xml:space="preserve"> </w:t>
            </w:r>
            <w:r>
              <w:rPr>
                <w:rFonts w:ascii="Menlo" w:hAnsi="Menlo" w:eastAsia="Menlo"/>
                <w:sz w:val="19"/>
              </w:rPr>
              <w:t>P2-01</w:t>
            </w:r>
            <w:r>
              <w:rPr>
                <w:sz w:val="19"/>
              </w:rPr>
              <w:t xml:space="preserve">, </w:t>
            </w:r>
            <w:r>
              <w:rPr>
                <w:rFonts w:ascii="Menlo" w:hAnsi="Menlo" w:eastAsia="Menlo"/>
                <w:sz w:val="19"/>
              </w:rPr>
              <w:t>P2-02</w:t>
            </w:r>
            <w:r>
              <w:rPr>
                <w:sz w:val="19"/>
              </w:rPr>
              <w:t xml:space="preserve">, </w:t>
            </w:r>
            <w:r>
              <w:rPr>
                <w:rFonts w:ascii="Menlo" w:hAnsi="Menlo" w:eastAsia="Menlo"/>
                <w:sz w:val="19"/>
              </w:rPr>
              <w:t>P2-03</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P2-07</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Completar los diseños y poner en operación MongoDB y Redis; configurar Docker Compose para el entorno distribuido local.</w:t>
            </w:r>
            <w:r>
              <w:br/>
            </w:r>
            <w:r>
              <w:rPr>
                <w:b/>
                <w:sz w:val="19"/>
              </w:rPr>
              <w:t>Cierre:</w:t>
            </w:r>
            <w:r>
              <w:rPr>
                <w:sz w:val="19"/>
              </w:rPr>
              <w:t xml:space="preserve"> MongoDB demuestra inserción, consulta, actualización, agregación, índices y filtros; Redis demuestra sesiones, revocación, caché, límites, contadores, temporales y bloqueos aplicables; PostgreSQL, MongoDB, Redis y los componentes implementados se ejecutan mediante la configuración de contenedores documentada.</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Victor Berlanga.</w:t>
            </w:r>
            <w:r>
              <w:br/>
            </w:r>
            <w:r>
              <w:rPr>
                <w:b/>
                <w:sz w:val="19"/>
              </w:rPr>
              <w:t>Frente:</w:t>
            </w:r>
            <w:r>
              <w:rPr>
                <w:sz w:val="19"/>
              </w:rPr>
              <w:t xml:space="preserve"> Datos y microservicios.</w:t>
            </w:r>
            <w:r>
              <w:br/>
            </w:r>
            <w:r>
              <w:rPr>
                <w:b/>
                <w:sz w:val="19"/>
              </w:rPr>
              <w:t>Dependencias:</w:t>
            </w:r>
            <w:r>
              <w:rPr>
                <w:sz w:val="19"/>
              </w:rPr>
              <w:t xml:space="preserve"> </w:t>
            </w:r>
            <w:r>
              <w:rPr>
                <w:rFonts w:ascii="Menlo" w:hAnsi="Menlo" w:eastAsia="Menlo"/>
                <w:sz w:val="19"/>
              </w:rPr>
              <w:t>P1-03</w:t>
            </w:r>
            <w:r>
              <w:rPr>
                <w:sz w:val="19"/>
              </w:rPr>
              <w:t xml:space="preserve">, </w:t>
            </w:r>
            <w:r>
              <w:rPr>
                <w:rFonts w:ascii="Menlo" w:hAnsi="Menlo" w:eastAsia="Menlo"/>
                <w:sz w:val="19"/>
              </w:rPr>
              <w:t>P2-01</w:t>
            </w:r>
            <w:r>
              <w:rPr>
                <w:sz w:val="19"/>
              </w:rPr>
              <w:t xml:space="preserve">, </w:t>
            </w:r>
            <w:r>
              <w:rPr>
                <w:rFonts w:ascii="Menlo" w:hAnsi="Menlo" w:eastAsia="Menlo"/>
                <w:sz w:val="19"/>
              </w:rPr>
              <w:t>P2-02</w:t>
            </w:r>
            <w:r>
              <w:rPr>
                <w:sz w:val="19"/>
              </w:rPr>
              <w:t xml:space="preserve">, </w:t>
            </w:r>
            <w:r>
              <w:rPr>
                <w:rFonts w:ascii="Menlo" w:hAnsi="Menlo" w:eastAsia="Menlo"/>
                <w:sz w:val="19"/>
              </w:rPr>
              <w:t>P2-03</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P2-08</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Integrar los cuatro productos, ejecutar pruebas unitarias y de integración iniciales y actualizar Swagger y el manual técnico parcial.</w:t>
            </w:r>
            <w:r>
              <w:br/>
            </w:r>
            <w:r>
              <w:rPr>
                <w:b/>
                <w:sz w:val="19"/>
              </w:rPr>
              <w:t>Cierre:</w:t>
            </w:r>
            <w:r>
              <w:rPr>
                <w:sz w:val="19"/>
              </w:rPr>
              <w:t xml:space="preserve"> Un proceso cruza clientes y servicios, valida JWT y Redis, persiste datos y puede consultarse en componentes autorizados mediante JSON o XML.</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Victor Berlanga.</w:t>
            </w:r>
            <w:r>
              <w:br/>
            </w:r>
            <w:r>
              <w:rPr>
                <w:b/>
                <w:sz w:val="19"/>
              </w:rPr>
              <w:t>Frente:</w:t>
            </w:r>
            <w:r>
              <w:rPr>
                <w:sz w:val="19"/>
              </w:rPr>
              <w:t xml:space="preserve"> Calidad e integración.</w:t>
            </w:r>
            <w:r>
              <w:br/>
            </w:r>
            <w:r>
              <w:rPr>
                <w:b/>
                <w:sz w:val="19"/>
              </w:rPr>
              <w:t>Dependencias:</w:t>
            </w:r>
            <w:r>
              <w:rPr>
                <w:sz w:val="19"/>
              </w:rPr>
              <w:t xml:space="preserve"> </w:t>
            </w:r>
            <w:r>
              <w:rPr>
                <w:rFonts w:ascii="Menlo" w:hAnsi="Menlo" w:eastAsia="Menlo"/>
                <w:sz w:val="19"/>
              </w:rPr>
              <w:t>P2-02</w:t>
            </w:r>
            <w:r>
              <w:rPr>
                <w:sz w:val="19"/>
              </w:rPr>
              <w:t xml:space="preserve"> a </w:t>
            </w:r>
            <w:r>
              <w:rPr>
                <w:rFonts w:ascii="Menlo" w:hAnsi="Menlo" w:eastAsia="Menlo"/>
                <w:sz w:val="19"/>
              </w:rPr>
              <w:t>P2-07</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bl>
    <w:p>
      <w:pPr>
        <w:spacing w:after="0"/>
      </w:pPr>
    </w:p>
    <w:p>
      <w:pPr>
        <w:pStyle w:val="Heading2"/>
      </w:pPr>
      <w:r>
        <w:t>4.1 Requerimientos relacionados</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224"/>
            <w:vAlign w:val="center"/>
            <w:shd w:fill="991B1B"/>
            <w:tcMar>
              <w:top w:w="95" w:type="dxa"/>
              <w:start w:w="105" w:type="dxa"/>
              <w:bottom w:w="95" w:type="dxa"/>
              <w:end w:w="105" w:type="dxa"/>
            </w:tcMar>
          </w:tcPr>
          <w:p>
            <w:pPr>
              <w:spacing w:after="0"/>
            </w:pPr>
            <w:r>
              <w:rPr>
                <w:b/>
                <w:color w:val="FFFFFF"/>
                <w:sz w:val="19"/>
              </w:rPr>
              <w:t>ID</w:t>
            </w:r>
          </w:p>
        </w:tc>
        <w:tc>
          <w:tcPr>
            <w:tcW w:type="dxa" w:w="9000"/>
            <w:vAlign w:val="center"/>
            <w:shd w:fill="991B1B"/>
            <w:tcMar>
              <w:top w:w="95" w:type="dxa"/>
              <w:start w:w="105" w:type="dxa"/>
              <w:bottom w:w="95" w:type="dxa"/>
              <w:end w:w="105" w:type="dxa"/>
            </w:tcMar>
          </w:tcPr>
          <w:p>
            <w:pPr>
              <w:spacing w:after="0"/>
            </w:pPr>
            <w:r>
              <w:rPr>
                <w:b/>
                <w:color w:val="FFFFFF"/>
                <w:sz w:val="19"/>
              </w:rPr>
              <w:t>RF/RNF relacionados</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P2-01</w:t>
            </w:r>
          </w:p>
        </w:tc>
        <w:tc>
          <w:tcPr>
            <w:tcW w:type="dxa" w:w="9000"/>
            <w:vAlign w:val="top"/>
            <w:tcMar>
              <w:top w:w="95" w:type="dxa"/>
              <w:start w:w="105" w:type="dxa"/>
              <w:bottom w:w="95" w:type="dxa"/>
              <w:end w:w="105" w:type="dxa"/>
            </w:tcMar>
          </w:tcPr>
          <w:p>
            <w:pPr>
              <w:spacing w:after="0" w:line="259" w:lineRule="auto"/>
            </w:pPr>
            <w:r>
              <w:rPr>
                <w:sz w:val="19"/>
              </w:rPr>
              <w:t>RNF-MS-001 a RNF-MS-005; RNF-MOV-001; RNF-DESK-001, RNF-DESK-002; RNF-INF-003, RNF-INF-005; RNF-SEC-003, RNF-SEC-005; RNF-DAT-001.</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P2-02</w:t>
            </w:r>
          </w:p>
        </w:tc>
        <w:tc>
          <w:tcPr>
            <w:tcW w:type="dxa" w:w="9000"/>
            <w:vAlign w:val="top"/>
            <w:tcMar>
              <w:top w:w="95" w:type="dxa"/>
              <w:start w:w="105" w:type="dxa"/>
              <w:bottom w:w="95" w:type="dxa"/>
              <w:end w:w="105" w:type="dxa"/>
            </w:tcMar>
            <w:shd w:fill="F3F4F6"/>
          </w:tcPr>
          <w:p>
            <w:pPr>
              <w:spacing w:after="0" w:line="259" w:lineRule="auto"/>
            </w:pPr>
            <w:r>
              <w:rPr>
                <w:sz w:val="19"/>
              </w:rPr>
              <w:t>RF-MS-001 a RF-MS-009; RNF-MS-001, RNF-MS-002, RNF-MS-004, RNF-MS-005; RF-MON-001; RNF-MON-001.</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P2-03</w:t>
            </w:r>
          </w:p>
        </w:tc>
        <w:tc>
          <w:tcPr>
            <w:tcW w:type="dxa" w:w="9000"/>
            <w:vAlign w:val="top"/>
            <w:tcMar>
              <w:top w:w="95" w:type="dxa"/>
              <w:start w:w="105" w:type="dxa"/>
              <w:bottom w:w="95" w:type="dxa"/>
              <w:end w:w="105" w:type="dxa"/>
            </w:tcMar>
          </w:tcPr>
          <w:p>
            <w:pPr>
              <w:spacing w:after="0" w:line="259" w:lineRule="auto"/>
            </w:pPr>
            <w:r>
              <w:rPr>
                <w:sz w:val="19"/>
              </w:rPr>
              <w:t>RF-SEC-001 a RF-SEC-003; RF-DAT-003; RNF-SEC-001, RNF-SEC-002, RNF-SEC-004 a RNF-SEC-006; RNF-MS-003, RNF-MS-004.</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P2-04</w:t>
            </w:r>
          </w:p>
        </w:tc>
        <w:tc>
          <w:tcPr>
            <w:tcW w:type="dxa" w:w="9000"/>
            <w:vAlign w:val="top"/>
            <w:tcMar>
              <w:top w:w="95" w:type="dxa"/>
              <w:start w:w="105" w:type="dxa"/>
              <w:bottom w:w="95" w:type="dxa"/>
              <w:end w:w="105" w:type="dxa"/>
            </w:tcMar>
            <w:shd w:fill="F3F4F6"/>
          </w:tcPr>
          <w:p>
            <w:pPr>
              <w:spacing w:after="0" w:line="259" w:lineRule="auto"/>
            </w:pPr>
            <w:r>
              <w:rPr>
                <w:sz w:val="19"/>
              </w:rPr>
              <w:t>RF-WEB-006 a RF-WEB-017; RNF-WEB-001 a RNF-WEB-004; RNF-SEC-002, RNF-SEC-003, RNF-SEC-006.</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P2-05</w:t>
            </w:r>
          </w:p>
        </w:tc>
        <w:tc>
          <w:tcPr>
            <w:tcW w:type="dxa" w:w="9000"/>
            <w:vAlign w:val="top"/>
            <w:tcMar>
              <w:top w:w="95" w:type="dxa"/>
              <w:start w:w="105" w:type="dxa"/>
              <w:bottom w:w="95" w:type="dxa"/>
              <w:end w:w="105" w:type="dxa"/>
            </w:tcMar>
          </w:tcPr>
          <w:p>
            <w:pPr>
              <w:spacing w:after="0" w:line="259" w:lineRule="auto"/>
            </w:pPr>
            <w:r>
              <w:rPr>
                <w:sz w:val="19"/>
              </w:rPr>
              <w:t>RF-MOV-001 a RF-MOV-007; RNF-MOV-001 a RNF-MOV-004; RNF-SEC-002, RNF-SEC-006, RNF-SEC-007.</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P2-06</w:t>
            </w:r>
          </w:p>
        </w:tc>
        <w:tc>
          <w:tcPr>
            <w:tcW w:type="dxa" w:w="9000"/>
            <w:vAlign w:val="top"/>
            <w:tcMar>
              <w:top w:w="95" w:type="dxa"/>
              <w:start w:w="105" w:type="dxa"/>
              <w:bottom w:w="95" w:type="dxa"/>
              <w:end w:w="105" w:type="dxa"/>
            </w:tcMar>
            <w:shd w:fill="F3F4F6"/>
          </w:tcPr>
          <w:p>
            <w:pPr>
              <w:spacing w:after="0" w:line="259" w:lineRule="auto"/>
            </w:pPr>
            <w:r>
              <w:rPr>
                <w:sz w:val="19"/>
              </w:rPr>
              <w:t>RF-DESK-001 a RF-DESK-007; RNF-DESK-001 a RNF-DESK-004; RNF-SEC-002, RNF-SEC-003, RNF-SEC-006.</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P2-07</w:t>
            </w:r>
          </w:p>
        </w:tc>
        <w:tc>
          <w:tcPr>
            <w:tcW w:type="dxa" w:w="9000"/>
            <w:vAlign w:val="top"/>
            <w:tcMar>
              <w:top w:w="95" w:type="dxa"/>
              <w:start w:w="105" w:type="dxa"/>
              <w:bottom w:w="95" w:type="dxa"/>
              <w:end w:w="105" w:type="dxa"/>
            </w:tcMar>
          </w:tcPr>
          <w:p>
            <w:pPr>
              <w:spacing w:after="0" w:line="259" w:lineRule="auto"/>
            </w:pPr>
            <w:r>
              <w:rPr>
                <w:sz w:val="19"/>
              </w:rPr>
              <w:t>RF-DAT-002, RF-DAT-003; RNF-DAT-001, RNF-DAT-004; RNF-INF-003; RNF-MS-003 a RNF-MS-005; RNF-SEC-001, RNF-SEC-004.</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P2-08</w:t>
            </w:r>
          </w:p>
        </w:tc>
        <w:tc>
          <w:tcPr>
            <w:tcW w:type="dxa" w:w="9000"/>
            <w:vAlign w:val="top"/>
            <w:tcMar>
              <w:top w:w="95" w:type="dxa"/>
              <w:start w:w="105" w:type="dxa"/>
              <w:bottom w:w="95" w:type="dxa"/>
              <w:end w:w="105" w:type="dxa"/>
            </w:tcMar>
            <w:shd w:fill="F3F4F6"/>
          </w:tcPr>
          <w:p>
            <w:pPr>
              <w:spacing w:after="0" w:line="259" w:lineRule="auto"/>
            </w:pPr>
            <w:r>
              <w:rPr>
                <w:sz w:val="19"/>
              </w:rPr>
              <w:t>RNF-INF-005 a RNF-INF-008; RNF-MS-002 a RNF-MS-005; RNF-MOV-001, RNF-MOV-003; RNF-DESK-002, RNF-DESK-003; RNF-SEC-002, RNF-SEC-003, RNF-SEC-005, RNF-SEC-006.</w:t>
            </w:r>
          </w:p>
        </w:tc>
      </w:tr>
    </w:tbl>
    <w:p>
      <w:pPr>
        <w:spacing w:after="0"/>
      </w:pPr>
    </w:p>
    <w:p>
      <w:pPr>
        <w:pStyle w:val="Heading1"/>
        <w:pageBreakBefore/>
      </w:pPr>
      <w:r>
        <w:t>5. Sprint 3 — Tercer parcial</w:t>
      </w:r>
    </w:p>
    <w:tbl>
      <w:tblPr>
        <w:tblStyle w:val="TableGrid"/>
        <w:tblW w:type="auto" w:w="0"/>
        <w:jc w:val="center"/>
        <w:tblLook w:firstColumn="1" w:firstRow="1" w:lastColumn="0" w:lastRow="0" w:noHBand="0" w:noVBand="1" w:val="04A0"/>
      </w:tblPr>
      <w:tblGrid>
        <w:gridCol w:w="10224"/>
      </w:tblGrid>
      <w:tr>
        <w:tc>
          <w:tcPr>
            <w:tcW w:type="dxa" w:w="10224"/>
            <w:shd w:fill="F8FAFC"/>
            <w:tcMar>
              <w:top w:w="110" w:type="dxa"/>
              <w:start w:w="145" w:type="dxa"/>
              <w:bottom w:w="110" w:type="dxa"/>
              <w:end w:w="145" w:type="dxa"/>
            </w:tcMar>
          </w:tcPr>
          <w:p>
            <w:pPr>
              <w:spacing w:after="40"/>
            </w:pPr>
            <w:r>
              <w:rPr>
                <w:b/>
                <w:sz w:val="20"/>
              </w:rPr>
              <w:t>Objetivo:</w:t>
            </w:r>
            <w:r>
              <w:rPr>
                <w:sz w:val="20"/>
              </w:rPr>
              <w:t xml:space="preserve"> completar la integración, la nube, la seguridad, los algoritmos y el comportamiento bajo carga o fallos.</w:t>
            </w:r>
          </w:p>
          <w:p>
            <w:pPr>
              <w:spacing w:after="40"/>
            </w:pPr>
            <w:r>
              <w:rPr>
                <w:b/>
                <w:sz w:val="20"/>
              </w:rPr>
              <w:t>Cierre de referencia:</w:t>
            </w:r>
            <w:r>
              <w:rPr>
                <w:sz w:val="20"/>
              </w:rPr>
              <w:t xml:space="preserve"> 16 de noviembre.</w:t>
            </w:r>
          </w:p>
          <w:p>
            <w:pPr>
              <w:spacing w:after="40"/>
            </w:pPr>
            <w:r>
              <w:rPr>
                <w:b/>
                <w:sz w:val="20"/>
              </w:rPr>
              <w:t>Incremento esperado:</w:t>
            </w:r>
            <w:r>
              <w:rPr>
                <w:sz w:val="20"/>
              </w:rPr>
              <w:t xml:space="preserve"> plataforma funcionalmente completa en GCP, monitoreo, buckets, algoritmos, tres flujos integrales y evidencia de rendimiento y resiliencia.</w:t>
            </w:r>
          </w:p>
        </w:tc>
      </w:tr>
    </w:tbl>
    <w:p>
      <w:pPr>
        <w:spacing w:after="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936"/>
            <w:vAlign w:val="center"/>
            <w:shd w:fill="991B1B"/>
            <w:tcMar>
              <w:top w:w="95" w:type="dxa"/>
              <w:start w:w="105" w:type="dxa"/>
              <w:bottom w:w="95" w:type="dxa"/>
              <w:end w:w="105" w:type="dxa"/>
            </w:tcMar>
          </w:tcPr>
          <w:p>
            <w:pPr>
              <w:spacing w:after="0"/>
              <w:jc w:val="center"/>
            </w:pPr>
            <w:r>
              <w:rPr>
                <w:b/>
                <w:color w:val="FFFFFF"/>
                <w:sz w:val="19"/>
              </w:rPr>
              <w:t>ID</w:t>
            </w:r>
          </w:p>
        </w:tc>
        <w:tc>
          <w:tcPr>
            <w:tcW w:type="dxa" w:w="4824"/>
            <w:vAlign w:val="center"/>
            <w:shd w:fill="991B1B"/>
            <w:tcMar>
              <w:top w:w="95" w:type="dxa"/>
              <w:start w:w="105" w:type="dxa"/>
              <w:bottom w:w="95" w:type="dxa"/>
              <w:end w:w="105" w:type="dxa"/>
            </w:tcMar>
          </w:tcPr>
          <w:p>
            <w:pPr>
              <w:spacing w:after="0"/>
            </w:pPr>
            <w:r>
              <w:rPr>
                <w:b/>
                <w:color w:val="FFFFFF"/>
                <w:sz w:val="19"/>
              </w:rPr>
              <w:t>Tarea y criterio de cierre</w:t>
            </w:r>
          </w:p>
        </w:tc>
        <w:tc>
          <w:tcPr>
            <w:tcW w:type="dxa" w:w="2951"/>
            <w:vAlign w:val="center"/>
            <w:shd w:fill="991B1B"/>
            <w:tcMar>
              <w:top w:w="95" w:type="dxa"/>
              <w:start w:w="105" w:type="dxa"/>
              <w:bottom w:w="95" w:type="dxa"/>
              <w:end w:w="105" w:type="dxa"/>
            </w:tcMar>
          </w:tcPr>
          <w:p>
            <w:pPr>
              <w:spacing w:after="0"/>
            </w:pPr>
            <w:r>
              <w:rPr>
                <w:b/>
                <w:color w:val="FFFFFF"/>
                <w:sz w:val="19"/>
              </w:rPr>
              <w:t>Responsable, frente y dependencias</w:t>
            </w:r>
          </w:p>
        </w:tc>
        <w:tc>
          <w:tcPr>
            <w:tcW w:type="dxa" w:w="1512"/>
            <w:vAlign w:val="center"/>
            <w:shd w:fill="991B1B"/>
            <w:tcMar>
              <w:top w:w="95" w:type="dxa"/>
              <w:start w:w="105" w:type="dxa"/>
              <w:bottom w:w="95" w:type="dxa"/>
              <w:end w:w="105" w:type="dxa"/>
            </w:tcMar>
          </w:tcPr>
          <w:p>
            <w:pPr>
              <w:spacing w:after="0"/>
              <w:jc w:val="center"/>
            </w:pPr>
            <w:r>
              <w:rPr>
                <w:b/>
                <w:color w:val="FFFFFF"/>
                <w:sz w:val="19"/>
              </w:rPr>
              <w:t>Estado</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P3-01</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Diseñar y desplegar la distribución en Google Cloud Platform.</w:t>
            </w:r>
            <w:r>
              <w:br/>
            </w:r>
            <w:r>
              <w:rPr>
                <w:b/>
                <w:sz w:val="19"/>
              </w:rPr>
              <w:t>Cierre:</w:t>
            </w:r>
            <w:r>
              <w:rPr>
                <w:sz w:val="19"/>
              </w:rPr>
              <w:t xml:space="preserve"> Google Compute Engine, redes privadas, firewall, puertos mínimos, variables, credenciales protegidas, HTTPS cuando sea posible y logs centralizables.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Alberto Reyna.</w:t>
            </w:r>
            <w:r>
              <w:br/>
            </w:r>
            <w:r>
              <w:rPr>
                <w:b/>
                <w:sz w:val="19"/>
              </w:rPr>
              <w:t>Frente:</w:t>
            </w:r>
            <w:r>
              <w:rPr>
                <w:sz w:val="19"/>
              </w:rPr>
              <w:t xml:space="preserve"> Nube y operación.</w:t>
            </w:r>
            <w:r>
              <w:br/>
            </w:r>
            <w:r>
              <w:rPr>
                <w:b/>
                <w:sz w:val="19"/>
              </w:rPr>
              <w:t>Dependencias:</w:t>
            </w:r>
            <w:r>
              <w:rPr>
                <w:sz w:val="19"/>
              </w:rPr>
              <w:t xml:space="preserve"> cierre de Sprint 2 y decisiones de infraestructura.</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P3-02</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Configurar Google Cloud Storage para evidencias, documentos, reportes e imágenes autorizadas.</w:t>
            </w:r>
            <w:r>
              <w:br/>
            </w:r>
            <w:r>
              <w:rPr>
                <w:b/>
                <w:sz w:val="19"/>
              </w:rPr>
              <w:t>Cierre:</w:t>
            </w:r>
            <w:r>
              <w:rPr>
                <w:sz w:val="19"/>
              </w:rPr>
              <w:t xml:space="preserve"> Objetos privados con metadatos, hash, privacidad y referencias en base de datos; carga y consulta mediante URLs firmadas.</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Galia Sejudo.</w:t>
            </w:r>
            <w:r>
              <w:br/>
            </w:r>
            <w:r>
              <w:rPr>
                <w:b/>
                <w:sz w:val="19"/>
              </w:rPr>
              <w:t>Frente:</w:t>
            </w:r>
            <w:r>
              <w:rPr>
                <w:sz w:val="19"/>
              </w:rPr>
              <w:t xml:space="preserve"> Nube, datos y seguridad.</w:t>
            </w:r>
            <w:r>
              <w:br/>
            </w:r>
            <w:r>
              <w:rPr>
                <w:b/>
                <w:sz w:val="19"/>
              </w:rPr>
              <w:t>Dependencias:</w:t>
            </w:r>
            <w:r>
              <w:rPr>
                <w:sz w:val="19"/>
              </w:rPr>
              <w:t xml:space="preserve"> </w:t>
            </w:r>
            <w:r>
              <w:rPr>
                <w:rFonts w:ascii="Menlo" w:hAnsi="Menlo" w:eastAsia="Menlo"/>
                <w:sz w:val="19"/>
              </w:rPr>
              <w:t>P3-01</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P3-03</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Completar health checks y el servicio central de monitoreo.</w:t>
            </w:r>
            <w:r>
              <w:br/>
            </w:r>
            <w:r>
              <w:rPr>
                <w:b/>
                <w:sz w:val="19"/>
              </w:rPr>
              <w:t>Cierre:</w:t>
            </w:r>
            <w:r>
              <w:rPr>
                <w:sz w:val="19"/>
              </w:rPr>
              <w:t xml:space="preserve"> Estados de proceso, PostgreSQL, MongoDB, Redis y Storage; latencia, versión, errores, historial y alertas visibles sin detener los servicios supervisados.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Alejandra Morón.</w:t>
            </w:r>
            <w:r>
              <w:br/>
            </w:r>
            <w:r>
              <w:rPr>
                <w:b/>
                <w:sz w:val="19"/>
              </w:rPr>
              <w:t>Frente:</w:t>
            </w:r>
            <w:r>
              <w:rPr>
                <w:sz w:val="19"/>
              </w:rPr>
              <w:t xml:space="preserve"> Monitoreo y microservicios.</w:t>
            </w:r>
            <w:r>
              <w:br/>
            </w:r>
            <w:r>
              <w:rPr>
                <w:b/>
                <w:sz w:val="19"/>
              </w:rPr>
              <w:t>Dependencias:</w:t>
            </w:r>
            <w:r>
              <w:rPr>
                <w:sz w:val="19"/>
              </w:rPr>
              <w:t xml:space="preserve"> </w:t>
            </w:r>
            <w:r>
              <w:rPr>
                <w:rFonts w:ascii="Menlo" w:hAnsi="Menlo" w:eastAsia="Menlo"/>
                <w:sz w:val="19"/>
              </w:rPr>
              <w:t>P2-02</w:t>
            </w:r>
            <w:r>
              <w:rPr>
                <w:sz w:val="19"/>
              </w:rPr>
              <w:t xml:space="preserve">, </w:t>
            </w:r>
            <w:r>
              <w:rPr>
                <w:rFonts w:ascii="Menlo" w:hAnsi="Menlo" w:eastAsia="Menlo"/>
                <w:sz w:val="19"/>
              </w:rPr>
              <w:t>P3-01</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P3-04</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Completar el endurecimiento de seguridad de extremo a extremo.</w:t>
            </w:r>
            <w:r>
              <w:br/>
            </w:r>
            <w:r>
              <w:rPr>
                <w:b/>
                <w:sz w:val="19"/>
              </w:rPr>
              <w:t>Cierre:</w:t>
            </w:r>
            <w:r>
              <w:rPr>
                <w:sz w:val="19"/>
              </w:rPr>
              <w:t xml:space="preserve"> Permisos por recurso, rate limiting, validación JSON, XML/XSD y archivos, protección XXE, secretos, auditoría, ocultamiento y errores seguros verificados.</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Alberto Reyna.</w:t>
            </w:r>
            <w:r>
              <w:br/>
            </w:r>
            <w:r>
              <w:rPr>
                <w:b/>
                <w:sz w:val="19"/>
              </w:rPr>
              <w:t>Frente:</w:t>
            </w:r>
            <w:r>
              <w:rPr>
                <w:sz w:val="19"/>
              </w:rPr>
              <w:t xml:space="preserve"> Seguridad y calidad.</w:t>
            </w:r>
            <w:r>
              <w:br/>
            </w:r>
            <w:r>
              <w:rPr>
                <w:b/>
                <w:sz w:val="19"/>
              </w:rPr>
              <w:t>Dependencias:</w:t>
            </w:r>
            <w:r>
              <w:rPr>
                <w:sz w:val="19"/>
              </w:rPr>
              <w:t xml:space="preserve"> </w:t>
            </w:r>
            <w:r>
              <w:rPr>
                <w:rFonts w:ascii="Menlo" w:hAnsi="Menlo" w:eastAsia="Menlo"/>
                <w:sz w:val="19"/>
              </w:rPr>
              <w:t>P2-03</w:t>
            </w:r>
            <w:r>
              <w:rPr>
                <w:sz w:val="19"/>
              </w:rPr>
              <w:t xml:space="preserve">, </w:t>
            </w:r>
            <w:r>
              <w:rPr>
                <w:rFonts w:ascii="Menlo" w:hAnsi="Menlo" w:eastAsia="Menlo"/>
                <w:sz w:val="19"/>
              </w:rPr>
              <w:t>P3-01</w:t>
            </w:r>
            <w:r>
              <w:rPr>
                <w:sz w:val="19"/>
              </w:rPr>
              <w:t xml:space="preserve">, </w:t>
            </w:r>
            <w:r>
              <w:rPr>
                <w:rFonts w:ascii="Menlo" w:hAnsi="Menlo" w:eastAsia="Menlo"/>
                <w:sz w:val="19"/>
              </w:rPr>
              <w:t>P3-02</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P3-05</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Implementar y documentar las capacidades algorítmicas priorizadas del dominio.</w:t>
            </w:r>
            <w:r>
              <w:br/>
            </w:r>
            <w:r>
              <w:rPr>
                <w:b/>
                <w:sz w:val="19"/>
              </w:rPr>
              <w:t>Cierre:</w:t>
            </w:r>
            <w:r>
              <w:rPr>
                <w:sz w:val="19"/>
              </w:rPr>
              <w:t xml:space="preserve"> Matching sanguíneo y HLA, ranking con urgencia, tiempo y distancia, pronóstico de caducidad, balanceo e inconsistencias se organizan en incrementos explicables; al menos un algoritmo no trivial queda integrado, medido y probado.</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Alberto Reyna.</w:t>
            </w:r>
            <w:r>
              <w:br/>
            </w:r>
            <w:r>
              <w:rPr>
                <w:b/>
                <w:sz w:val="19"/>
              </w:rPr>
              <w:t>Frente:</w:t>
            </w:r>
            <w:r>
              <w:rPr>
                <w:sz w:val="19"/>
              </w:rPr>
              <w:t xml:space="preserve"> Algoritmos, datos y análisis funcional.</w:t>
            </w:r>
            <w:r>
              <w:br/>
            </w:r>
            <w:r>
              <w:rPr>
                <w:b/>
                <w:sz w:val="19"/>
              </w:rPr>
              <w:t>Dependencias:</w:t>
            </w:r>
            <w:r>
              <w:rPr>
                <w:sz w:val="19"/>
              </w:rPr>
              <w:t xml:space="preserve"> reglas validadas, </w:t>
            </w:r>
            <w:r>
              <w:rPr>
                <w:rFonts w:ascii="Menlo" w:hAnsi="Menlo" w:eastAsia="Menlo"/>
                <w:sz w:val="19"/>
              </w:rPr>
              <w:t>P2-07</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P3-06</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Generar el conjunto de datos de volumen y ejecutar mediciones y pruebas Locust.</w:t>
            </w:r>
            <w:r>
              <w:br/>
            </w:r>
            <w:r>
              <w:rPr>
                <w:b/>
                <w:sz w:val="19"/>
              </w:rPr>
              <w:t>Cierre:</w:t>
            </w:r>
            <w:r>
              <w:rPr>
                <w:sz w:val="19"/>
              </w:rPr>
              <w:t xml:space="preserve"> Inserción, consulta, índices, caché, recursos, comportamiento con y sin Redis, usuarios concurrentes, RPS, media, p95, p99, errores, saturación y recuperación documentados.</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Galia Sejudo.</w:t>
            </w:r>
            <w:r>
              <w:br/>
            </w:r>
            <w:r>
              <w:rPr>
                <w:b/>
                <w:sz w:val="19"/>
              </w:rPr>
              <w:t>Frente:</w:t>
            </w:r>
            <w:r>
              <w:rPr>
                <w:sz w:val="19"/>
              </w:rPr>
              <w:t xml:space="preserve"> Calidad, datos y rendimiento.</w:t>
            </w:r>
            <w:r>
              <w:br/>
            </w:r>
            <w:r>
              <w:rPr>
                <w:b/>
                <w:sz w:val="19"/>
              </w:rPr>
              <w:t>Dependencias:</w:t>
            </w:r>
            <w:r>
              <w:rPr>
                <w:sz w:val="19"/>
              </w:rPr>
              <w:t xml:space="preserve"> </w:t>
            </w:r>
            <w:r>
              <w:rPr>
                <w:rFonts w:ascii="Menlo" w:hAnsi="Menlo" w:eastAsia="Menlo"/>
                <w:sz w:val="19"/>
              </w:rPr>
              <w:t>P3-03</w:t>
            </w:r>
            <w:r>
              <w:rPr>
                <w:sz w:val="19"/>
              </w:rPr>
              <w:t xml:space="preserve">, </w:t>
            </w:r>
            <w:r>
              <w:rPr>
                <w:rFonts w:ascii="Menlo" w:hAnsi="Menlo" w:eastAsia="Menlo"/>
                <w:sz w:val="19"/>
              </w:rPr>
              <w:t>P3-05</w:t>
            </w:r>
            <w:r>
              <w:rPr>
                <w:sz w:val="19"/>
              </w:rPr>
              <w:t xml:space="preserve"> y flujos estables.</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P3-07</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Completar al menos tres flujos integrales de principio a fin.</w:t>
            </w:r>
            <w:r>
              <w:br/>
            </w:r>
            <w:r>
              <w:rPr>
                <w:b/>
                <w:sz w:val="19"/>
              </w:rPr>
              <w:t>Cierre:</w:t>
            </w:r>
            <w:r>
              <w:rPr>
                <w:sz w:val="19"/>
              </w:rPr>
              <w:t xml:space="preserve"> Cada flujo involucra usuario, cliente, microservicios, Redis, PostgreSQL o MongoDB, auditoría, notificación y visualización; incluye bucket cuando maneja archivos.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Victor Berlanga.</w:t>
            </w:r>
            <w:r>
              <w:br/>
            </w:r>
            <w:r>
              <w:rPr>
                <w:b/>
                <w:sz w:val="19"/>
              </w:rPr>
              <w:t>Frente:</w:t>
            </w:r>
            <w:r>
              <w:rPr>
                <w:sz w:val="19"/>
              </w:rPr>
              <w:t xml:space="preserve"> Integración de productos.</w:t>
            </w:r>
            <w:r>
              <w:br/>
            </w:r>
            <w:r>
              <w:rPr>
                <w:b/>
                <w:sz w:val="19"/>
              </w:rPr>
              <w:t>Dependencias:</w:t>
            </w:r>
            <w:r>
              <w:rPr>
                <w:sz w:val="19"/>
              </w:rPr>
              <w:t xml:space="preserve"> </w:t>
            </w:r>
            <w:r>
              <w:rPr>
                <w:rFonts w:ascii="Menlo" w:hAnsi="Menlo" w:eastAsia="Menlo"/>
                <w:sz w:val="19"/>
              </w:rPr>
              <w:t>P3-01</w:t>
            </w:r>
            <w:r>
              <w:rPr>
                <w:sz w:val="19"/>
              </w:rPr>
              <w:t xml:space="preserve"> a </w:t>
            </w:r>
            <w:r>
              <w:rPr>
                <w:rFonts w:ascii="Menlo" w:hAnsi="Menlo" w:eastAsia="Menlo"/>
                <w:sz w:val="19"/>
              </w:rPr>
              <w:t>P3-05</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P3-08</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Ejecutar pruebas de fallos y realizar la demostración en la nube.</w:t>
            </w:r>
            <w:r>
              <w:br/>
            </w:r>
            <w:r>
              <w:rPr>
                <w:b/>
                <w:sz w:val="19"/>
              </w:rPr>
              <w:t>Cierre:</w:t>
            </w:r>
            <w:r>
              <w:rPr>
                <w:sz w:val="19"/>
              </w:rPr>
              <w:t xml:space="preserve"> Se detectan y registran caídas, dependencias inaccesibles y timeouts; se informa sin corrupción y la operación se recupera al restablecerse el servicio.</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Alberto Reyna.</w:t>
            </w:r>
            <w:r>
              <w:br/>
            </w:r>
            <w:r>
              <w:rPr>
                <w:b/>
                <w:sz w:val="19"/>
              </w:rPr>
              <w:t>Frente:</w:t>
            </w:r>
            <w:r>
              <w:rPr>
                <w:sz w:val="19"/>
              </w:rPr>
              <w:t xml:space="preserve"> Calidad, monitoreo y operación.</w:t>
            </w:r>
            <w:r>
              <w:br/>
            </w:r>
            <w:r>
              <w:rPr>
                <w:b/>
                <w:sz w:val="19"/>
              </w:rPr>
              <w:t>Dependencias:</w:t>
            </w:r>
            <w:r>
              <w:rPr>
                <w:sz w:val="19"/>
              </w:rPr>
              <w:t xml:space="preserve"> </w:t>
            </w:r>
            <w:r>
              <w:rPr>
                <w:rFonts w:ascii="Menlo" w:hAnsi="Menlo" w:eastAsia="Menlo"/>
                <w:sz w:val="19"/>
              </w:rPr>
              <w:t>P3-03</w:t>
            </w:r>
            <w:r>
              <w:rPr>
                <w:sz w:val="19"/>
              </w:rPr>
              <w:t xml:space="preserve">, </w:t>
            </w:r>
            <w:r>
              <w:rPr>
                <w:rFonts w:ascii="Menlo" w:hAnsi="Menlo" w:eastAsia="Menlo"/>
                <w:sz w:val="19"/>
              </w:rPr>
              <w:t>P3-04</w:t>
            </w:r>
            <w:r>
              <w:rPr>
                <w:sz w:val="19"/>
              </w:rPr>
              <w:t xml:space="preserve">, </w:t>
            </w:r>
            <w:r>
              <w:rPr>
                <w:rFonts w:ascii="Menlo" w:hAnsi="Menlo" w:eastAsia="Menlo"/>
                <w:sz w:val="19"/>
              </w:rPr>
              <w:t>P3-06</w:t>
            </w:r>
            <w:r>
              <w:rPr>
                <w:sz w:val="19"/>
              </w:rPr>
              <w:t xml:space="preserve">, </w:t>
            </w:r>
            <w:r>
              <w:rPr>
                <w:rFonts w:ascii="Menlo" w:hAnsi="Menlo" w:eastAsia="Menlo"/>
                <w:sz w:val="19"/>
              </w:rPr>
              <w:t>P3-07</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bl>
    <w:p>
      <w:pPr>
        <w:spacing w:after="0"/>
      </w:pPr>
    </w:p>
    <w:p>
      <w:pPr>
        <w:pStyle w:val="Heading2"/>
      </w:pPr>
      <w:r>
        <w:t>5.1 Requerimientos relacionados</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224"/>
            <w:vAlign w:val="center"/>
            <w:shd w:fill="991B1B"/>
            <w:tcMar>
              <w:top w:w="95" w:type="dxa"/>
              <w:start w:w="105" w:type="dxa"/>
              <w:bottom w:w="95" w:type="dxa"/>
              <w:end w:w="105" w:type="dxa"/>
            </w:tcMar>
          </w:tcPr>
          <w:p>
            <w:pPr>
              <w:spacing w:after="0"/>
            </w:pPr>
            <w:r>
              <w:rPr>
                <w:b/>
                <w:color w:val="FFFFFF"/>
                <w:sz w:val="19"/>
              </w:rPr>
              <w:t>ID</w:t>
            </w:r>
          </w:p>
        </w:tc>
        <w:tc>
          <w:tcPr>
            <w:tcW w:type="dxa" w:w="9000"/>
            <w:vAlign w:val="center"/>
            <w:shd w:fill="991B1B"/>
            <w:tcMar>
              <w:top w:w="95" w:type="dxa"/>
              <w:start w:w="105" w:type="dxa"/>
              <w:bottom w:w="95" w:type="dxa"/>
              <w:end w:w="105" w:type="dxa"/>
            </w:tcMar>
          </w:tcPr>
          <w:p>
            <w:pPr>
              <w:spacing w:after="0"/>
            </w:pPr>
            <w:r>
              <w:rPr>
                <w:b/>
                <w:color w:val="FFFFFF"/>
                <w:sz w:val="19"/>
              </w:rPr>
              <w:t>RF/RNF relacionados</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P3-01</w:t>
            </w:r>
          </w:p>
        </w:tc>
        <w:tc>
          <w:tcPr>
            <w:tcW w:type="dxa" w:w="9000"/>
            <w:vAlign w:val="top"/>
            <w:tcMar>
              <w:top w:w="95" w:type="dxa"/>
              <w:start w:w="105" w:type="dxa"/>
              <w:bottom w:w="95" w:type="dxa"/>
              <w:end w:w="105" w:type="dxa"/>
            </w:tcMar>
          </w:tcPr>
          <w:p>
            <w:pPr>
              <w:spacing w:after="0" w:line="259" w:lineRule="auto"/>
            </w:pPr>
            <w:r>
              <w:rPr>
                <w:sz w:val="19"/>
              </w:rPr>
              <w:t>RNF-INF-002 a RNF-INF-005; RNF-INF-007; RNF-DAT-004; RNF-SEC-005; RNF-MON-003.</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P3-02</w:t>
            </w:r>
          </w:p>
        </w:tc>
        <w:tc>
          <w:tcPr>
            <w:tcW w:type="dxa" w:w="9000"/>
            <w:vAlign w:val="top"/>
            <w:tcMar>
              <w:top w:w="95" w:type="dxa"/>
              <w:start w:w="105" w:type="dxa"/>
              <w:bottom w:w="95" w:type="dxa"/>
              <w:end w:w="105" w:type="dxa"/>
            </w:tcMar>
            <w:shd w:fill="F3F4F6"/>
          </w:tcPr>
          <w:p>
            <w:pPr>
              <w:spacing w:after="0" w:line="259" w:lineRule="auto"/>
            </w:pPr>
            <w:r>
              <w:rPr>
                <w:sz w:val="19"/>
              </w:rPr>
              <w:t>RF-DAT-004; RF-WEB-017; RF-MOV-006; RNF-DAT-003, RNF-DAT-004; RNF-MOV-002; RNF-SEC-003, RNF-SEC-005 a RNF-SEC-008.</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P3-03</w:t>
            </w:r>
          </w:p>
        </w:tc>
        <w:tc>
          <w:tcPr>
            <w:tcW w:type="dxa" w:w="9000"/>
            <w:vAlign w:val="top"/>
            <w:tcMar>
              <w:top w:w="95" w:type="dxa"/>
              <w:start w:w="105" w:type="dxa"/>
              <w:bottom w:w="95" w:type="dxa"/>
              <w:end w:w="105" w:type="dxa"/>
            </w:tcMar>
          </w:tcPr>
          <w:p>
            <w:pPr>
              <w:spacing w:after="0" w:line="259" w:lineRule="auto"/>
            </w:pPr>
            <w:r>
              <w:rPr>
                <w:sz w:val="19"/>
              </w:rPr>
              <w:t>RF-MON-001 a RF-MON-004; RNF-MON-001 a RNF-MON-003; RNF-MS-004, RNF-MS-005; RNF-INF-007.</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P3-04</w:t>
            </w:r>
          </w:p>
        </w:tc>
        <w:tc>
          <w:tcPr>
            <w:tcW w:type="dxa" w:w="9000"/>
            <w:vAlign w:val="top"/>
            <w:tcMar>
              <w:top w:w="95" w:type="dxa"/>
              <w:start w:w="105" w:type="dxa"/>
              <w:bottom w:w="95" w:type="dxa"/>
              <w:end w:w="105" w:type="dxa"/>
            </w:tcMar>
            <w:shd w:fill="F3F4F6"/>
          </w:tcPr>
          <w:p>
            <w:pPr>
              <w:spacing w:after="0" w:line="259" w:lineRule="auto"/>
            </w:pPr>
            <w:r>
              <w:rPr>
                <w:sz w:val="19"/>
              </w:rPr>
              <w:t>RF-SEC-001 a RF-SEC-003; RNF-SEC-001 a RNF-SEC-008; RNF-MS-003 a RNF-MS-005; RNF-DAT-001, RNF-DAT-003, RNF-DAT-004; RNF-INF-004, RNF-INF-007, RNF-INF-008.</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P3-05</w:t>
            </w:r>
          </w:p>
        </w:tc>
        <w:tc>
          <w:tcPr>
            <w:tcW w:type="dxa" w:w="9000"/>
            <w:vAlign w:val="top"/>
            <w:tcMar>
              <w:top w:w="95" w:type="dxa"/>
              <w:start w:w="105" w:type="dxa"/>
              <w:bottom w:w="95" w:type="dxa"/>
              <w:end w:w="105" w:type="dxa"/>
            </w:tcMar>
          </w:tcPr>
          <w:p>
            <w:pPr>
              <w:spacing w:after="0" w:line="259" w:lineRule="auto"/>
            </w:pPr>
            <w:r>
              <w:rPr>
                <w:sz w:val="19"/>
              </w:rPr>
              <w:t>RF-WEB-012; RF-MS-003 a RF-MS-005; RF-MS-007, RF-MS-009; RF-DESK-004; RF-DAT-005; RNF-MS-006; RNF-DAT-004; RNF-SEC-008.</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P3-06</w:t>
            </w:r>
          </w:p>
        </w:tc>
        <w:tc>
          <w:tcPr>
            <w:tcW w:type="dxa" w:w="9000"/>
            <w:vAlign w:val="top"/>
            <w:tcMar>
              <w:top w:w="95" w:type="dxa"/>
              <w:start w:w="105" w:type="dxa"/>
              <w:bottom w:w="95" w:type="dxa"/>
              <w:end w:w="105" w:type="dxa"/>
            </w:tcMar>
            <w:shd w:fill="F3F4F6"/>
          </w:tcPr>
          <w:p>
            <w:pPr>
              <w:spacing w:after="0" w:line="259" w:lineRule="auto"/>
            </w:pPr>
            <w:r>
              <w:rPr>
                <w:sz w:val="19"/>
              </w:rPr>
              <w:t>RNF-MS-006; RNF-DAT-004; RNF-INF-008; RNF-MON-003.</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P3-07</w:t>
            </w:r>
          </w:p>
        </w:tc>
        <w:tc>
          <w:tcPr>
            <w:tcW w:type="dxa" w:w="9000"/>
            <w:vAlign w:val="top"/>
            <w:tcMar>
              <w:top w:w="95" w:type="dxa"/>
              <w:start w:w="105" w:type="dxa"/>
              <w:bottom w:w="95" w:type="dxa"/>
              <w:end w:w="105" w:type="dxa"/>
            </w:tcMar>
          </w:tcPr>
          <w:p>
            <w:pPr>
              <w:spacing w:after="0" w:line="259" w:lineRule="auto"/>
            </w:pPr>
            <w:r>
              <w:rPr>
                <w:sz w:val="19"/>
              </w:rPr>
              <w:t>RF-WEB-010 a RF-WEB-014; RF-WEB-017; RF-MS-001 a RF-MS-008; RF-MOV-002 a RF-MOV-006; RF-DESK-003, RF-DESK-004, RF-DESK-006; RF-DAT-003 a RF-DAT-005; RF-SEC-003; RNF-INF-006, RNF-INF-008.</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P3-08</w:t>
            </w:r>
          </w:p>
        </w:tc>
        <w:tc>
          <w:tcPr>
            <w:tcW w:type="dxa" w:w="9000"/>
            <w:vAlign w:val="top"/>
            <w:tcMar>
              <w:top w:w="95" w:type="dxa"/>
              <w:start w:w="105" w:type="dxa"/>
              <w:bottom w:w="95" w:type="dxa"/>
              <w:end w:w="105" w:type="dxa"/>
            </w:tcMar>
            <w:shd w:fill="F3F4F6"/>
          </w:tcPr>
          <w:p>
            <w:pPr>
              <w:spacing w:after="0" w:line="259" w:lineRule="auto"/>
            </w:pPr>
            <w:r>
              <w:rPr>
                <w:sz w:val="19"/>
              </w:rPr>
              <w:t>RF-MON-001 a RF-MON-004; RNF-MS-005, RNF-MS-006; RNF-DAT-004; RNF-INF-007, RNF-INF-008; RNF-MON-001 a RNF-MON-003.</w:t>
            </w:r>
          </w:p>
        </w:tc>
      </w:tr>
    </w:tbl>
    <w:p>
      <w:pPr>
        <w:spacing w:after="0"/>
      </w:pPr>
    </w:p>
    <w:p>
      <w:pPr>
        <w:pStyle w:val="Heading1"/>
        <w:pageBreakBefore/>
      </w:pPr>
      <w:r>
        <w:t>6. Sprint 4 — Entrega final</w:t>
      </w:r>
    </w:p>
    <w:tbl>
      <w:tblPr>
        <w:tblStyle w:val="TableGrid"/>
        <w:tblW w:type="auto" w:w="0"/>
        <w:jc w:val="center"/>
        <w:tblLook w:firstColumn="1" w:firstRow="1" w:lastColumn="0" w:lastRow="0" w:noHBand="0" w:noVBand="1" w:val="04A0"/>
      </w:tblPr>
      <w:tblGrid>
        <w:gridCol w:w="10224"/>
      </w:tblGrid>
      <w:tr>
        <w:tc>
          <w:tcPr>
            <w:tcW w:type="dxa" w:w="10224"/>
            <w:shd w:fill="F8FAFC"/>
            <w:tcMar>
              <w:top w:w="110" w:type="dxa"/>
              <w:start w:w="145" w:type="dxa"/>
              <w:bottom w:w="110" w:type="dxa"/>
              <w:end w:w="145" w:type="dxa"/>
            </w:tcMar>
          </w:tcPr>
          <w:p>
            <w:pPr>
              <w:spacing w:after="40"/>
            </w:pPr>
            <w:r>
              <w:rPr>
                <w:b/>
                <w:sz w:val="20"/>
              </w:rPr>
              <w:t>Objetivo:</w:t>
            </w:r>
            <w:r>
              <w:rPr>
                <w:sz w:val="20"/>
              </w:rPr>
              <w:t xml:space="preserve"> estabilizar, verificar y presentar profesionalmente la solución completa.</w:t>
            </w:r>
          </w:p>
          <w:p>
            <w:pPr>
              <w:spacing w:after="40"/>
            </w:pPr>
            <w:r>
              <w:rPr>
                <w:b/>
                <w:sz w:val="20"/>
              </w:rPr>
              <w:t>Cierre de referencia:</w:t>
            </w:r>
            <w:r>
              <w:rPr>
                <w:sz w:val="20"/>
              </w:rPr>
              <w:t xml:space="preserve"> 5 de diciembre.</w:t>
            </w:r>
          </w:p>
          <w:p>
            <w:pPr>
              <w:spacing w:after="40"/>
            </w:pPr>
            <w:r>
              <w:rPr>
                <w:b/>
                <w:sz w:val="20"/>
              </w:rPr>
              <w:t>Incremento esperado:</w:t>
            </w:r>
            <w:r>
              <w:rPr>
                <w:sz w:val="20"/>
              </w:rPr>
              <w:t xml:space="preserve"> versión liberable, pruebas finales, documentación y manuales, video, presentación y demostración integral.</w:t>
            </w:r>
          </w:p>
        </w:tc>
      </w:tr>
    </w:tbl>
    <w:p>
      <w:pPr>
        <w:spacing w:after="0"/>
      </w:pP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936"/>
            <w:vAlign w:val="center"/>
            <w:shd w:fill="991B1B"/>
            <w:tcMar>
              <w:top w:w="95" w:type="dxa"/>
              <w:start w:w="105" w:type="dxa"/>
              <w:bottom w:w="95" w:type="dxa"/>
              <w:end w:w="105" w:type="dxa"/>
            </w:tcMar>
          </w:tcPr>
          <w:p>
            <w:pPr>
              <w:spacing w:after="0"/>
              <w:jc w:val="center"/>
            </w:pPr>
            <w:r>
              <w:rPr>
                <w:b/>
                <w:color w:val="FFFFFF"/>
                <w:sz w:val="19"/>
              </w:rPr>
              <w:t>ID</w:t>
            </w:r>
          </w:p>
        </w:tc>
        <w:tc>
          <w:tcPr>
            <w:tcW w:type="dxa" w:w="4824"/>
            <w:vAlign w:val="center"/>
            <w:shd w:fill="991B1B"/>
            <w:tcMar>
              <w:top w:w="95" w:type="dxa"/>
              <w:start w:w="105" w:type="dxa"/>
              <w:bottom w:w="95" w:type="dxa"/>
              <w:end w:w="105" w:type="dxa"/>
            </w:tcMar>
          </w:tcPr>
          <w:p>
            <w:pPr>
              <w:spacing w:after="0"/>
            </w:pPr>
            <w:r>
              <w:rPr>
                <w:b/>
                <w:color w:val="FFFFFF"/>
                <w:sz w:val="19"/>
              </w:rPr>
              <w:t>Tarea y criterio de cierre</w:t>
            </w:r>
          </w:p>
        </w:tc>
        <w:tc>
          <w:tcPr>
            <w:tcW w:type="dxa" w:w="2951"/>
            <w:vAlign w:val="center"/>
            <w:shd w:fill="991B1B"/>
            <w:tcMar>
              <w:top w:w="95" w:type="dxa"/>
              <w:start w:w="105" w:type="dxa"/>
              <w:bottom w:w="95" w:type="dxa"/>
              <w:end w:w="105" w:type="dxa"/>
            </w:tcMar>
          </w:tcPr>
          <w:p>
            <w:pPr>
              <w:spacing w:after="0"/>
            </w:pPr>
            <w:r>
              <w:rPr>
                <w:b/>
                <w:color w:val="FFFFFF"/>
                <w:sz w:val="19"/>
              </w:rPr>
              <w:t>Responsable, frente y dependencias</w:t>
            </w:r>
          </w:p>
        </w:tc>
        <w:tc>
          <w:tcPr>
            <w:tcW w:type="dxa" w:w="1512"/>
            <w:vAlign w:val="center"/>
            <w:shd w:fill="991B1B"/>
            <w:tcMar>
              <w:top w:w="95" w:type="dxa"/>
              <w:start w:w="105" w:type="dxa"/>
              <w:bottom w:w="95" w:type="dxa"/>
              <w:end w:w="105" w:type="dxa"/>
            </w:tcMar>
          </w:tcPr>
          <w:p>
            <w:pPr>
              <w:spacing w:after="0"/>
              <w:jc w:val="center"/>
            </w:pPr>
            <w:r>
              <w:rPr>
                <w:b/>
                <w:color w:val="FFFFFF"/>
                <w:sz w:val="19"/>
              </w:rPr>
              <w:t>Estado</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EF-01</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Congelar nuevas funciones y clasificar los defectos funcionales, de integración, seguridad, datos, sincronización, archivos y rendimiento.</w:t>
            </w:r>
            <w:r>
              <w:br/>
            </w:r>
            <w:r>
              <w:rPr>
                <w:b/>
                <w:sz w:val="19"/>
              </w:rPr>
              <w:t>Cierre:</w:t>
            </w:r>
            <w:r>
              <w:rPr>
                <w:sz w:val="19"/>
              </w:rPr>
              <w:t xml:space="preserve"> Lista priorizada sin módulos faltantes disfrazados de defectos; responsables y evidencia definidos.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Victor Berlanga.</w:t>
            </w:r>
            <w:r>
              <w:br/>
            </w:r>
            <w:r>
              <w:rPr>
                <w:b/>
                <w:sz w:val="19"/>
              </w:rPr>
              <w:t>Frente:</w:t>
            </w:r>
            <w:r>
              <w:rPr>
                <w:sz w:val="19"/>
              </w:rPr>
              <w:t xml:space="preserve"> Coordinación y calidad.</w:t>
            </w:r>
            <w:r>
              <w:br/>
            </w:r>
            <w:r>
              <w:rPr>
                <w:b/>
                <w:sz w:val="19"/>
              </w:rPr>
              <w:t>Dependencias:</w:t>
            </w:r>
            <w:r>
              <w:rPr>
                <w:sz w:val="19"/>
              </w:rPr>
              <w:t xml:space="preserve"> cierre de Sprint 3.</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EF-02</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Corregir defectos y completar pruebas unitarias, integración, sistema, regresión, contratos, seguridad, carga, estrés, recuperación, roles, archivos, datos masivos y usabilidad.</w:t>
            </w:r>
            <w:r>
              <w:br/>
            </w:r>
            <w:r>
              <w:rPr>
                <w:b/>
                <w:sz w:val="19"/>
              </w:rPr>
              <w:t>Cierre:</w:t>
            </w:r>
            <w:r>
              <w:rPr>
                <w:sz w:val="19"/>
              </w:rPr>
              <w:t xml:space="preserve"> Pruebas reproducibles, defectos críticos cerrados y resultados conservados.</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Alejandra Morón.</w:t>
            </w:r>
            <w:r>
              <w:br/>
            </w:r>
            <w:r>
              <w:rPr>
                <w:b/>
                <w:sz w:val="19"/>
              </w:rPr>
              <w:t>Frente:</w:t>
            </w:r>
            <w:r>
              <w:rPr>
                <w:sz w:val="19"/>
              </w:rPr>
              <w:t xml:space="preserve"> Todos los frentes técnicos.</w:t>
            </w:r>
            <w:r>
              <w:br/>
            </w:r>
            <w:r>
              <w:rPr>
                <w:b/>
                <w:sz w:val="19"/>
              </w:rPr>
              <w:t>Dependencias:</w:t>
            </w:r>
            <w:r>
              <w:rPr>
                <w:sz w:val="19"/>
              </w:rPr>
              <w:t xml:space="preserve"> </w:t>
            </w:r>
            <w:r>
              <w:rPr>
                <w:rFonts w:ascii="Menlo" w:hAnsi="Menlo" w:eastAsia="Menlo"/>
                <w:sz w:val="19"/>
              </w:rPr>
              <w:t>EF-01</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EF-03</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Optimizar consultas, índices, caché, consumo, interfaces y recuperación sin alterar reglas aprobadas.</w:t>
            </w:r>
            <w:r>
              <w:br/>
            </w:r>
            <w:r>
              <w:rPr>
                <w:b/>
                <w:sz w:val="19"/>
              </w:rPr>
              <w:t>Cierre:</w:t>
            </w:r>
            <w:r>
              <w:rPr>
                <w:sz w:val="19"/>
              </w:rPr>
              <w:t xml:space="preserve"> Comparación antes y después, ausencia de regresiones y límites conocidos documentados.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Alberto Reyna.</w:t>
            </w:r>
            <w:r>
              <w:br/>
            </w:r>
            <w:r>
              <w:rPr>
                <w:b/>
                <w:sz w:val="19"/>
              </w:rPr>
              <w:t>Frente:</w:t>
            </w:r>
            <w:r>
              <w:rPr>
                <w:sz w:val="19"/>
              </w:rPr>
              <w:t xml:space="preserve"> Datos, calidad y experiencia.</w:t>
            </w:r>
            <w:r>
              <w:br/>
            </w:r>
            <w:r>
              <w:rPr>
                <w:b/>
                <w:sz w:val="19"/>
              </w:rPr>
              <w:t>Dependencias:</w:t>
            </w:r>
            <w:r>
              <w:rPr>
                <w:sz w:val="19"/>
              </w:rPr>
              <w:t xml:space="preserve"> </w:t>
            </w:r>
            <w:r>
              <w:rPr>
                <w:rFonts w:ascii="Menlo" w:hAnsi="Menlo" w:eastAsia="Menlo"/>
                <w:sz w:val="19"/>
              </w:rPr>
              <w:t>EF-02</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EF-04</w:t>
            </w:r>
          </w:p>
        </w:tc>
        <w:tc>
          <w:tcPr>
            <w:tcW w:type="dxa" w:w="4824"/>
            <w:vAlign w:val="top"/>
            <w:tcMar>
              <w:top w:w="95" w:type="dxa"/>
              <w:start w:w="105" w:type="dxa"/>
              <w:bottom w:w="95" w:type="dxa"/>
              <w:end w:w="105" w:type="dxa"/>
            </w:tcMar>
            <w:shd w:fill="F3F4F6"/>
          </w:tcPr>
          <w:p>
            <w:pPr>
              <w:spacing w:after="0" w:line="259" w:lineRule="auto"/>
            </w:pPr>
            <w:r>
              <w:rPr>
                <w:b/>
                <w:sz w:val="19"/>
              </w:rPr>
              <w:t>Tarea:</w:t>
            </w:r>
            <w:r>
              <w:rPr>
                <w:sz w:val="19"/>
              </w:rPr>
              <w:t xml:space="preserve"> Completar expediente técnico, manuales, scripts, Swagger, evidencias de GCP, bitácora de participación, registro de incidencias y paquete de instalación o despliegue.</w:t>
            </w:r>
            <w:r>
              <w:br/>
            </w:r>
            <w:r>
              <w:rPr>
                <w:b/>
                <w:sz w:val="19"/>
              </w:rPr>
              <w:t>Cierre:</w:t>
            </w:r>
            <w:r>
              <w:rPr>
                <w:sz w:val="19"/>
              </w:rPr>
              <w:t xml:space="preserve"> Documentación consistente con la versión liberada y procedimientos reproducibles.</w:t>
            </w:r>
          </w:p>
        </w:tc>
        <w:tc>
          <w:tcPr>
            <w:tcW w:type="dxa" w:w="2951"/>
            <w:vAlign w:val="top"/>
            <w:tcMar>
              <w:top w:w="95" w:type="dxa"/>
              <w:start w:w="105" w:type="dxa"/>
              <w:bottom w:w="95" w:type="dxa"/>
              <w:end w:w="105" w:type="dxa"/>
            </w:tcMar>
            <w:shd w:fill="F3F4F6"/>
          </w:tcPr>
          <w:p>
            <w:pPr>
              <w:spacing w:after="0" w:line="259" w:lineRule="auto"/>
            </w:pPr>
            <w:r>
              <w:rPr>
                <w:b/>
                <w:sz w:val="19"/>
              </w:rPr>
              <w:t>Responsable:</w:t>
            </w:r>
            <w:r>
              <w:rPr>
                <w:sz w:val="19"/>
              </w:rPr>
              <w:t xml:space="preserve"> Alejandra Morón.</w:t>
            </w:r>
            <w:r>
              <w:br/>
            </w:r>
            <w:r>
              <w:rPr>
                <w:b/>
                <w:sz w:val="19"/>
              </w:rPr>
              <w:t>Frente:</w:t>
            </w:r>
            <w:r>
              <w:rPr>
                <w:sz w:val="19"/>
              </w:rPr>
              <w:t xml:space="preserve"> Documentación y operación.</w:t>
            </w:r>
            <w:r>
              <w:br/>
            </w:r>
            <w:r>
              <w:rPr>
                <w:b/>
                <w:sz w:val="19"/>
              </w:rPr>
              <w:t>Dependencias:</w:t>
            </w:r>
            <w:r>
              <w:rPr>
                <w:sz w:val="19"/>
              </w:rPr>
              <w:t xml:space="preserve"> </w:t>
            </w:r>
            <w:r>
              <w:rPr>
                <w:rFonts w:ascii="Menlo" w:hAnsi="Menlo" w:eastAsia="Menlo"/>
                <w:sz w:val="19"/>
              </w:rPr>
              <w:t>EF-02</w:t>
            </w:r>
            <w:r>
              <w:rPr>
                <w:sz w:val="19"/>
              </w:rPr>
              <w:t xml:space="preserve">, </w:t>
            </w:r>
            <w:r>
              <w:rPr>
                <w:rFonts w:ascii="Menlo" w:hAnsi="Menlo" w:eastAsia="Menlo"/>
                <w:sz w:val="19"/>
              </w:rPr>
              <w:t>EF-03</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r>
        <w:trPr>
          <w:cantSplit/>
        </w:trPr>
        <w:tc>
          <w:tcPr>
            <w:tcW w:type="dxa" w:w="936"/>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EF-05</w:t>
            </w:r>
          </w:p>
        </w:tc>
        <w:tc>
          <w:tcPr>
            <w:tcW w:type="dxa" w:w="4824"/>
            <w:vAlign w:val="top"/>
            <w:tcMar>
              <w:top w:w="95" w:type="dxa"/>
              <w:start w:w="105" w:type="dxa"/>
              <w:bottom w:w="95" w:type="dxa"/>
              <w:end w:w="105" w:type="dxa"/>
            </w:tcMar>
          </w:tcPr>
          <w:p>
            <w:pPr>
              <w:spacing w:after="0" w:line="259" w:lineRule="auto"/>
            </w:pPr>
            <w:r>
              <w:rPr>
                <w:b/>
                <w:sz w:val="19"/>
              </w:rPr>
              <w:t>Tarea:</w:t>
            </w:r>
            <w:r>
              <w:rPr>
                <w:sz w:val="19"/>
              </w:rPr>
              <w:t xml:space="preserve"> Preparar video, presentación, ensayo de la demostración integral y entrega de código, aplicaciones, contenedores y evidencias.</w:t>
            </w:r>
            <w:r>
              <w:br/>
            </w:r>
            <w:r>
              <w:rPr>
                <w:b/>
                <w:sz w:val="19"/>
              </w:rPr>
              <w:t>Cierre:</w:t>
            </w:r>
            <w:r>
              <w:rPr>
                <w:sz w:val="19"/>
              </w:rPr>
              <w:t xml:space="preserve"> Demostración de web, móvil, escritorio, microservicios, seguridad, datos, algoritmo, nube, monitoreo, carga y recuperación; participación de los cuatro integrantes.</w:t>
            </w:r>
          </w:p>
        </w:tc>
        <w:tc>
          <w:tcPr>
            <w:tcW w:type="dxa" w:w="2951"/>
            <w:vAlign w:val="top"/>
            <w:tcMar>
              <w:top w:w="95" w:type="dxa"/>
              <w:start w:w="105" w:type="dxa"/>
              <w:bottom w:w="95" w:type="dxa"/>
              <w:end w:w="105" w:type="dxa"/>
            </w:tcMar>
          </w:tcPr>
          <w:p>
            <w:pPr>
              <w:spacing w:after="0" w:line="259" w:lineRule="auto"/>
            </w:pPr>
            <w:r>
              <w:rPr>
                <w:b/>
                <w:sz w:val="19"/>
              </w:rPr>
              <w:t>Responsable:</w:t>
            </w:r>
            <w:r>
              <w:rPr>
                <w:sz w:val="19"/>
              </w:rPr>
              <w:t xml:space="preserve"> Galia Sejudo.</w:t>
            </w:r>
            <w:r>
              <w:br/>
            </w:r>
            <w:r>
              <w:rPr>
                <w:b/>
                <w:sz w:val="19"/>
              </w:rPr>
              <w:t>Frente:</w:t>
            </w:r>
            <w:r>
              <w:rPr>
                <w:sz w:val="19"/>
              </w:rPr>
              <w:t xml:space="preserve"> Equipo completo.</w:t>
            </w:r>
            <w:r>
              <w:br/>
            </w:r>
            <w:r>
              <w:rPr>
                <w:b/>
                <w:sz w:val="19"/>
              </w:rPr>
              <w:t>Dependencias:</w:t>
            </w:r>
            <w:r>
              <w:rPr>
                <w:sz w:val="19"/>
              </w:rPr>
              <w:t xml:space="preserve"> </w:t>
            </w:r>
            <w:r>
              <w:rPr>
                <w:rFonts w:ascii="Menlo" w:hAnsi="Menlo" w:eastAsia="Menlo"/>
                <w:sz w:val="19"/>
              </w:rPr>
              <w:t>EF-04</w:t>
            </w:r>
            <w:r>
              <w:rPr>
                <w:sz w:val="19"/>
              </w:rPr>
              <w:t>.</w:t>
            </w:r>
          </w:p>
        </w:tc>
        <w:tc>
          <w:tcPr>
            <w:tcW w:type="dxa" w:w="1512"/>
            <w:vAlign w:val="center"/>
            <w:tcMar>
              <w:top w:w="95" w:type="dxa"/>
              <w:start w:w="105" w:type="dxa"/>
              <w:bottom w:w="95" w:type="dxa"/>
              <w:end w:w="105" w:type="dxa"/>
            </w:tcMar>
            <w:shd w:fill="F3F4F6"/>
          </w:tcPr>
          <w:p>
            <w:pPr>
              <w:spacing w:after="0" w:line="259" w:lineRule="auto"/>
              <w:jc w:val="center"/>
            </w:pPr>
            <w:r>
              <w:rPr>
                <w:b/>
                <w:sz w:val="19"/>
              </w:rPr>
              <w:t>Pendiente</w:t>
            </w:r>
          </w:p>
        </w:tc>
      </w:tr>
    </w:tbl>
    <w:p>
      <w:pPr>
        <w:spacing w:after="0"/>
      </w:pPr>
    </w:p>
    <w:p>
      <w:pPr>
        <w:pStyle w:val="Heading2"/>
      </w:pPr>
      <w:r>
        <w:t>6.1 Requerimientos relacionados</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1224"/>
            <w:vAlign w:val="center"/>
            <w:shd w:fill="991B1B"/>
            <w:tcMar>
              <w:top w:w="95" w:type="dxa"/>
              <w:start w:w="105" w:type="dxa"/>
              <w:bottom w:w="95" w:type="dxa"/>
              <w:end w:w="105" w:type="dxa"/>
            </w:tcMar>
          </w:tcPr>
          <w:p>
            <w:pPr>
              <w:spacing w:after="0"/>
            </w:pPr>
            <w:r>
              <w:rPr>
                <w:b/>
                <w:color w:val="FFFFFF"/>
                <w:sz w:val="19"/>
              </w:rPr>
              <w:t>ID</w:t>
            </w:r>
          </w:p>
        </w:tc>
        <w:tc>
          <w:tcPr>
            <w:tcW w:type="dxa" w:w="9000"/>
            <w:vAlign w:val="center"/>
            <w:shd w:fill="991B1B"/>
            <w:tcMar>
              <w:top w:w="95" w:type="dxa"/>
              <w:start w:w="105" w:type="dxa"/>
              <w:bottom w:w="95" w:type="dxa"/>
              <w:end w:w="105" w:type="dxa"/>
            </w:tcMar>
          </w:tcPr>
          <w:p>
            <w:pPr>
              <w:spacing w:after="0"/>
            </w:pPr>
            <w:r>
              <w:rPr>
                <w:b/>
                <w:color w:val="FFFFFF"/>
                <w:sz w:val="19"/>
              </w:rPr>
              <w:t>RF/RNF relacionados</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EF-01</w:t>
            </w:r>
          </w:p>
        </w:tc>
        <w:tc>
          <w:tcPr>
            <w:tcW w:type="dxa" w:w="9000"/>
            <w:vAlign w:val="top"/>
            <w:tcMar>
              <w:top w:w="95" w:type="dxa"/>
              <w:start w:w="105" w:type="dxa"/>
              <w:bottom w:w="95" w:type="dxa"/>
              <w:end w:w="105" w:type="dxa"/>
            </w:tcMar>
          </w:tcPr>
          <w:p>
            <w:pPr>
              <w:spacing w:after="0" w:line="259" w:lineRule="auto"/>
            </w:pPr>
            <w:r>
              <w:rPr>
                <w:sz w:val="19"/>
              </w:rPr>
              <w:t>Todos los RF y RNF consolidados, de acuerdo con la clasificación del defecto registrado.</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EF-02</w:t>
            </w:r>
          </w:p>
        </w:tc>
        <w:tc>
          <w:tcPr>
            <w:tcW w:type="dxa" w:w="9000"/>
            <w:vAlign w:val="top"/>
            <w:tcMar>
              <w:top w:w="95" w:type="dxa"/>
              <w:start w:w="105" w:type="dxa"/>
              <w:bottom w:w="95" w:type="dxa"/>
              <w:end w:w="105" w:type="dxa"/>
            </w:tcMar>
            <w:shd w:fill="F3F4F6"/>
          </w:tcPr>
          <w:p>
            <w:pPr>
              <w:spacing w:after="0" w:line="259" w:lineRule="auto"/>
            </w:pPr>
            <w:r>
              <w:rPr>
                <w:sz w:val="19"/>
              </w:rPr>
              <w:t>Todos los RF y RNF consolidados, como alcance de la verificación final.</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EF-03</w:t>
            </w:r>
          </w:p>
        </w:tc>
        <w:tc>
          <w:tcPr>
            <w:tcW w:type="dxa" w:w="9000"/>
            <w:vAlign w:val="top"/>
            <w:tcMar>
              <w:top w:w="95" w:type="dxa"/>
              <w:start w:w="105" w:type="dxa"/>
              <w:bottom w:w="95" w:type="dxa"/>
              <w:end w:w="105" w:type="dxa"/>
            </w:tcMar>
          </w:tcPr>
          <w:p>
            <w:pPr>
              <w:spacing w:after="0" w:line="259" w:lineRule="auto"/>
            </w:pPr>
            <w:r>
              <w:rPr>
                <w:sz w:val="19"/>
              </w:rPr>
              <w:t>RNF-WEB-002 a RNF-WEB-004; RNF-MS-005, RNF-MS-006; RNF-MOV-003, RNF-MOV-004; RNF-DESK-003, RNF-DESK-004; RNF-DAT-004; RNF-INF-005, RNF-INF-007, RNF-INF-008; RNF-MON-001 a RNF-MON-003.</w:t>
            </w:r>
          </w:p>
        </w:tc>
      </w:tr>
      <w:tr>
        <w:trPr>
          <w:cantSplit/>
        </w:trPr>
        <w:tc>
          <w:tcPr>
            <w:tcW w:type="dxa" w:w="1224"/>
            <w:vAlign w:val="top"/>
            <w:tcMar>
              <w:top w:w="95" w:type="dxa"/>
              <w:start w:w="105" w:type="dxa"/>
              <w:bottom w:w="95" w:type="dxa"/>
              <w:end w:w="105" w:type="dxa"/>
            </w:tcMar>
            <w:shd w:fill="F3F4F6"/>
          </w:tcPr>
          <w:p>
            <w:pPr>
              <w:spacing w:after="0" w:line="259" w:lineRule="auto"/>
              <w:jc w:val="center"/>
            </w:pPr>
            <w:r>
              <w:rPr>
                <w:rFonts w:ascii="Menlo" w:hAnsi="Menlo" w:eastAsia="Menlo"/>
                <w:b/>
                <w:color w:val="991B1B"/>
                <w:sz w:val="19"/>
              </w:rPr>
              <w:t>EF-04</w:t>
            </w:r>
          </w:p>
        </w:tc>
        <w:tc>
          <w:tcPr>
            <w:tcW w:type="dxa" w:w="9000"/>
            <w:vAlign w:val="top"/>
            <w:tcMar>
              <w:top w:w="95" w:type="dxa"/>
              <w:start w:w="105" w:type="dxa"/>
              <w:bottom w:w="95" w:type="dxa"/>
              <w:end w:w="105" w:type="dxa"/>
            </w:tcMar>
            <w:shd w:fill="F3F4F6"/>
          </w:tcPr>
          <w:p>
            <w:pPr>
              <w:spacing w:after="0" w:line="259" w:lineRule="auto"/>
            </w:pPr>
            <w:r>
              <w:rPr>
                <w:sz w:val="19"/>
              </w:rPr>
              <w:t>Todos los RF y RNF consolidados, como alcance de la documentación y de las evidencias finales.</w:t>
            </w:r>
          </w:p>
        </w:tc>
      </w:tr>
      <w:tr>
        <w:trPr>
          <w:cantSplit/>
        </w:trPr>
        <w:tc>
          <w:tcPr>
            <w:tcW w:type="dxa" w:w="1224"/>
            <w:vAlign w:val="top"/>
            <w:tcMar>
              <w:top w:w="95" w:type="dxa"/>
              <w:start w:w="105" w:type="dxa"/>
              <w:bottom w:w="95" w:type="dxa"/>
              <w:end w:w="105" w:type="dxa"/>
            </w:tcMar>
          </w:tcPr>
          <w:p>
            <w:pPr>
              <w:spacing w:after="0" w:line="259" w:lineRule="auto"/>
              <w:jc w:val="center"/>
            </w:pPr>
            <w:r>
              <w:rPr>
                <w:rFonts w:ascii="Menlo" w:hAnsi="Menlo" w:eastAsia="Menlo"/>
                <w:b/>
                <w:color w:val="991B1B"/>
                <w:sz w:val="19"/>
              </w:rPr>
              <w:t>EF-05</w:t>
            </w:r>
          </w:p>
        </w:tc>
        <w:tc>
          <w:tcPr>
            <w:tcW w:type="dxa" w:w="9000"/>
            <w:vAlign w:val="top"/>
            <w:tcMar>
              <w:top w:w="95" w:type="dxa"/>
              <w:start w:w="105" w:type="dxa"/>
              <w:bottom w:w="95" w:type="dxa"/>
              <w:end w:w="105" w:type="dxa"/>
            </w:tcMar>
          </w:tcPr>
          <w:p>
            <w:pPr>
              <w:spacing w:after="0" w:line="259" w:lineRule="auto"/>
            </w:pPr>
            <w:r>
              <w:rPr>
                <w:sz w:val="19"/>
              </w:rPr>
              <w:t>Todos los RF y RNF consolidados, como alcance de la demostración integral.</w:t>
            </w:r>
          </w:p>
        </w:tc>
      </w:tr>
    </w:tbl>
    <w:p>
      <w:pPr>
        <w:spacing w:after="0"/>
      </w:pPr>
    </w:p>
    <w:p>
      <w:pPr>
        <w:pStyle w:val="Heading1"/>
      </w:pPr>
      <w:r>
        <w:t>7. Seguimiento del backlog</w:t>
      </w:r>
    </w:p>
    <w:p>
      <w:r>
        <w:t>El backlog se revisará durante el seguimiento semanal y antes de cada demostración. Toda actualización conservará el identificador del elemento y registrará el cambio de estado, la persona responsable, la persona revisora, las fechas reales, los impedimentos y la ubicación de la evidencia.</w:t>
      </w:r>
    </w:p>
    <w:p>
      <w:r>
        <w:t>Los cambios de alcance deberán reflejarse primero en el plan de trabajo y después en el Sprint Backlog. Una actividad nueva no reemplazará silenciosamente un paquete comprometido ni permitirá omitir seguridad, trazabilidad, pruebas o documentación necesarias para su cierre.</w:t>
      </w:r>
    </w:p>
    <w:sectPr w:rsidR="00FC693F" w:rsidRPr="0006063C" w:rsidSect="00034616">
      <w:pgSz w:w="12240" w:h="15840"/>
      <w:pgMar w:top="979" w:right="1008"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991B1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eastAsia="Arial"/>
      <w:b/>
      <w:color w:val="7F1D1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Backlog — Plan de trabajo del semestre</dc:title>
  <dc:subject>Proyecto 6: Red regional de bancos de sangre y donación de órganos</dc:subject>
  <dc:creator>Equipo 01</dc:creator>
  <cp:keywords/>
  <dc:description>Línea base inicial del Sprint Backlog del 2 de septiembre de 2026</dc:description>
  <cp:lastModifiedBy/>
  <cp:revision>1</cp:revision>
  <dcterms:created xsi:type="dcterms:W3CDTF">2013-12-23T23:15:00Z</dcterms:created>
  <dcterms:modified xsi:type="dcterms:W3CDTF">2013-12-23T23:15:00Z</dcterms:modified>
  <cp:category/>
</cp:coreProperties>
</file>