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House: documento técnico del segundo parcial</w:t>
      </w:r>
    </w:p>
    <w:p>
      <w:r>
        <w:t>Proyecto 6, equipo 01. Entrega prevista: 22 de octubre de 2026. Edición de implementación 0.3.0. Las referencias a evidencia apuntan a archivos ejecutados y conservados; los ejemplos de contratos se identifican por separado.</w:t>
      </w:r>
    </w:p>
    <w:p>
      <w:r>
        <w:t>Actualización del 20 de octubre: las sesiones técnicas del portal usan Redis y las revocaciones pendientes PostgreSQL. Las mediciones integrales del 19 de octubre se conservan como antecedentes; la nueva validación de sesiones documenta esta sustitución, su migración y sus pruebas.</w:t>
      </w:r>
    </w:p>
    <w:p>
      <w:pPr>
        <w:pStyle w:val="Heading2"/>
      </w:pPr>
      <w:r>
        <w:t>1. Resumen ejecutivo y problema</w:t>
      </w:r>
    </w:p>
    <w:p>
      <w:r>
        <w:t>Red House coordina una red regional de bancos de sangre e instituciones participantes. Una institución registra recursos disponibles y otra solicita su traslado; el sistema conserva quién registró, evaluó, autorizó, reservó, transportó y recibió cada recurso. El problema operativo es la dispersión de información, las reservas concurrentes, la pérdida de trazabilidad y la dificultad para distinguir disponibilidad real de información desactualizada.</w:t>
      </w:r>
    </w:p>
    <w:p>
      <w:r>
        <w:t>La entrega integra un portal Flask/Jinja2, diez servicios de dominio y un servicio de Monitoreo. PostgreSQL conserva la información transaccional en una base compartida con permisos separados. Redis participa en cada petición protegida. MongoDB conserva eventos, telemetría y proyecciones documentales. Google Cloud Storage almacena evidencias privadas. Docker proporciona un entorno separado del entorno habitual, con dos instancias por API y un gateway.</w:t>
      </w:r>
    </w:p>
    <w:p>
      <w:r>
        <w:t>El portal incorpora su propio backend modular. Ejecuta los mismos módulos versionados de aplicación que se empaquetan en los servicios, con las mismas validaciones, autorización y persistencia. Por ello puede ejecutar operaciones cuando las API están detenidas. Los futuros clientes Android y escritorio utilizarán exclusivamente las API con JSON y XML, respectivamente; su implementación está fuera de este parcial.</w:t>
      </w:r>
    </w:p>
    <w:p>
      <w:r>
        <w:t>Este es un sistema académico de coordinación y apoyo. La elegibilidad, compatibilidad clínica, conservación, asignación y trasplante requieren valoración y autorización profesional. Un resultado del algoritmo no constituye autorización clínica. Los datos de las pruebas son ficticios.</w:t>
      </w:r>
    </w:p>
    <w:p>
      <w:pPr>
        <w:pStyle w:val="Heading2"/>
      </w:pPr>
      <w:r>
        <w:t>2. Objetivos, alcance y actores</w:t>
      </w:r>
    </w:p>
    <w:p>
      <w:r>
        <w:t>El objetivo general es ejecutar y demostrar procesos regionales trazables, con seguridad común, persistencia real y continuidad ante la caída de una instancia de aplicación.</w:t>
      </w:r>
    </w:p>
    <w:p>
      <w:r>
        <w:t>Los objetivos específicos son conservar registros de donantes y receptores; controlar inventario y solicitudes; obtener candidatos explicables; registrar revisión humana; impedir reservas duplicadas; coordinar traslado y recepción; conservar custodia, notificaciones y auditoría; demostrar contratos JSON/XML; y reproducir el despliegue con contenedores y secretos externos.</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r>
              <w:rPr>
                <w:sz w:val="16"/>
              </w:rPr>
              <w:t>Actor</w:t>
            </w:r>
          </w:p>
        </w:tc>
        <w:tc>
          <w:tcPr>
            <w:tcW w:type="dxa" w:w="3360"/>
          </w:tcPr>
          <w:p>
            <w:r>
              <w:rPr>
                <w:sz w:val="16"/>
              </w:rPr>
              <w:t>Responsabilidad implementada</w:t>
            </w:r>
          </w:p>
        </w:tc>
        <w:tc>
          <w:tcPr>
            <w:tcW w:type="dxa" w:w="3360"/>
          </w:tcPr>
          <w:p>
            <w:r>
              <w:rPr>
                <w:sz w:val="16"/>
              </w:rPr>
              <w:t>Restricción principal</w:t>
            </w:r>
          </w:p>
        </w:tc>
      </w:tr>
      <w:tr>
        <w:tc>
          <w:tcPr>
            <w:tcW w:type="dxa" w:w="3360"/>
          </w:tcPr>
          <w:p>
            <w:r>
              <w:rPr>
                <w:sz w:val="16"/>
              </w:rPr>
              <w:t>Administrador</w:t>
            </w:r>
          </w:p>
        </w:tc>
        <w:tc>
          <w:tcPr>
            <w:tcW w:type="dxa" w:w="3360"/>
          </w:tcPr>
          <w:p>
            <w:r>
              <w:rPr>
                <w:sz w:val="16"/>
              </w:rPr>
              <w:t>Usuarios, instituciones y catálogos autorizados</w:t>
            </w:r>
          </w:p>
        </w:tc>
        <w:tc>
          <w:tcPr>
            <w:tcW w:type="dxa" w:w="3360"/>
          </w:tcPr>
          <w:p>
            <w:r>
              <w:rPr>
                <w:sz w:val="16"/>
              </w:rPr>
              <w:t>Administrar cuentas no concede acceso clínico general</w:t>
            </w:r>
          </w:p>
        </w:tc>
      </w:tr>
      <w:tr>
        <w:tc>
          <w:tcPr>
            <w:tcW w:type="dxa" w:w="3360"/>
          </w:tcPr>
          <w:p>
            <w:r>
              <w:rPr>
                <w:sz w:val="16"/>
              </w:rPr>
              <w:t>Médico</w:t>
            </w:r>
          </w:p>
        </w:tc>
        <w:tc>
          <w:tcPr>
            <w:tcW w:type="dxa" w:w="3360"/>
          </w:tcPr>
          <w:p>
            <w:r>
              <w:rPr>
                <w:sz w:val="16"/>
              </w:rPr>
              <w:t>Receptores, solicitudes, dictámenes, liberación y reserva</w:t>
            </w:r>
          </w:p>
        </w:tc>
        <w:tc>
          <w:tcPr>
            <w:tcW w:type="dxa" w:w="3360"/>
          </w:tcPr>
          <w:p>
            <w:r>
              <w:rPr>
                <w:sz w:val="16"/>
              </w:rPr>
              <w:t>Ámbito institucional, versión de registro y confirmación humana</w:t>
            </w:r>
          </w:p>
        </w:tc>
      </w:tr>
      <w:tr>
        <w:tc>
          <w:tcPr>
            <w:tcW w:type="dxa" w:w="3360"/>
          </w:tcPr>
          <w:p>
            <w:r>
              <w:rPr>
                <w:sz w:val="16"/>
              </w:rPr>
              <w:t>Operador de banco</w:t>
            </w:r>
          </w:p>
        </w:tc>
        <w:tc>
          <w:tcPr>
            <w:tcW w:type="dxa" w:w="3360"/>
          </w:tcPr>
          <w:p>
            <w:r>
              <w:rPr>
                <w:sz w:val="16"/>
              </w:rPr>
              <w:t>Registro de recursos, donaciones, preparación y recepción</w:t>
            </w:r>
          </w:p>
        </w:tc>
        <w:tc>
          <w:tcPr>
            <w:tcW w:type="dxa" w:w="3360"/>
          </w:tcPr>
          <w:p>
            <w:r>
              <w:rPr>
                <w:sz w:val="16"/>
              </w:rPr>
              <w:t>Institución participante en el recurso o traslado</w:t>
            </w:r>
          </w:p>
        </w:tc>
      </w:tr>
      <w:tr>
        <w:tc>
          <w:tcPr>
            <w:tcW w:type="dxa" w:w="3360"/>
          </w:tcPr>
          <w:p>
            <w:r>
              <w:rPr>
                <w:sz w:val="16"/>
              </w:rPr>
              <w:t>Coordinador regional</w:t>
            </w:r>
          </w:p>
        </w:tc>
        <w:tc>
          <w:tcPr>
            <w:tcW w:type="dxa" w:w="3360"/>
          </w:tcPr>
          <w:p>
            <w:r>
              <w:rPr>
                <w:sz w:val="16"/>
              </w:rPr>
              <w:t>Rutas, planeación, seguimiento y panel regional</w:t>
            </w:r>
          </w:p>
        </w:tc>
        <w:tc>
          <w:tcPr>
            <w:tcW w:type="dxa" w:w="3360"/>
          </w:tcPr>
          <w:p>
            <w:r>
              <w:rPr>
                <w:sz w:val="16"/>
              </w:rPr>
              <w:t>Región asignada; no sustituye dictamen médico</w:t>
            </w:r>
          </w:p>
        </w:tc>
      </w:tr>
      <w:tr>
        <w:tc>
          <w:tcPr>
            <w:tcW w:type="dxa" w:w="3360"/>
          </w:tcPr>
          <w:p>
            <w:r>
              <w:rPr>
                <w:sz w:val="16"/>
              </w:rPr>
              <w:t>Transportista</w:t>
            </w:r>
          </w:p>
        </w:tc>
        <w:tc>
          <w:tcPr>
            <w:tcW w:type="dxa" w:w="3360"/>
          </w:tcPr>
          <w:p>
            <w:r>
              <w:rPr>
                <w:sz w:val="16"/>
              </w:rPr>
              <w:t>Recolección, traslado, entrega y ubicación</w:t>
            </w:r>
          </w:p>
        </w:tc>
        <w:tc>
          <w:tcPr>
            <w:tcW w:type="dxa" w:w="3360"/>
          </w:tcPr>
          <w:p>
            <w:r>
              <w:rPr>
                <w:sz w:val="16"/>
              </w:rPr>
              <w:t>Solo traslados asignados y estados autorizados</w:t>
            </w:r>
          </w:p>
        </w:tc>
      </w:tr>
      <w:tr>
        <w:tc>
          <w:tcPr>
            <w:tcW w:type="dxa" w:w="3360"/>
          </w:tcPr>
          <w:p>
            <w:r>
              <w:rPr>
                <w:sz w:val="16"/>
              </w:rPr>
              <w:t>Auditor</w:t>
            </w:r>
          </w:p>
        </w:tc>
        <w:tc>
          <w:tcPr>
            <w:tcW w:type="dxa" w:w="3360"/>
          </w:tcPr>
          <w:p>
            <w:r>
              <w:rPr>
                <w:sz w:val="16"/>
              </w:rPr>
              <w:t>Historial minimizado y monitoreo</w:t>
            </w:r>
          </w:p>
        </w:tc>
        <w:tc>
          <w:tcPr>
            <w:tcW w:type="dxa" w:w="3360"/>
          </w:tcPr>
          <w:p>
            <w:r>
              <w:rPr>
                <w:sz w:val="16"/>
              </w:rPr>
              <w:t>Región y perfil; no modifica eventos</w:t>
            </w:r>
          </w:p>
        </w:tc>
      </w:tr>
      <w:tr>
        <w:tc>
          <w:tcPr>
            <w:tcW w:type="dxa" w:w="3360"/>
          </w:tcPr>
          <w:p>
            <w:r>
              <w:rPr>
                <w:sz w:val="16"/>
              </w:rPr>
              <w:t>Donante</w:t>
            </w:r>
          </w:p>
        </w:tc>
        <w:tc>
          <w:tcPr>
            <w:tcW w:type="dxa" w:w="3360"/>
          </w:tcPr>
          <w:p>
            <w:r>
              <w:rPr>
                <w:sz w:val="16"/>
              </w:rPr>
              <w:t>Registro preliminar, campañas, citas y avisos propios</w:t>
            </w:r>
          </w:p>
        </w:tc>
        <w:tc>
          <w:tcPr>
            <w:tcW w:type="dxa" w:w="3360"/>
          </w:tcPr>
          <w:p>
            <w:r>
              <w:rPr>
                <w:sz w:val="16"/>
              </w:rPr>
              <w:t>Acceso a su cuenta y expediente autorizado</w:t>
            </w:r>
          </w:p>
        </w:tc>
      </w:tr>
    </w:tbl>
    <w:p/>
    <w:p>
      <w:r>
        <w:t>La implementación distingue sangre y órganos mediante tipos, componentes, estados y reglas de evaluación. No interpreta HLA ni decide aptitud clínica. No implementa Android ni escritorio. La recuperación automatizada de contraseña, email/push, agenda detallada por sede/hora y reportes regulatorios certificados continúan pendientes. La ayuda de acceso y la exportación CSV de una página no se presentan como esas funciones.</w:t>
      </w:r>
    </w:p>
    <w:p>
      <w:pPr>
        <w:pStyle w:val="Heading2"/>
      </w:pPr>
      <w:r>
        <w:t>3. Correcciones y trazabilidad</w:t>
      </w:r>
    </w:p>
    <w:p>
      <w:r>
        <w:t>Las correcciones siguientes se comprueban en código y pruebas. No se atribuyen al docente observaciones que el equipo no proporcionó.</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r>
              <w:rPr>
                <w:sz w:val="16"/>
              </w:rPr>
              <w:t>Situación anterior</w:t>
            </w:r>
          </w:p>
        </w:tc>
        <w:tc>
          <w:tcPr>
            <w:tcW w:type="dxa" w:w="3360"/>
          </w:tcPr>
          <w:p>
            <w:r>
              <w:rPr>
                <w:sz w:val="16"/>
              </w:rPr>
              <w:t>Cambio del segundo parcial</w:t>
            </w:r>
          </w:p>
        </w:tc>
        <w:tc>
          <w:tcPr>
            <w:tcW w:type="dxa" w:w="3360"/>
          </w:tcPr>
          <w:p>
            <w:r>
              <w:rPr>
                <w:sz w:val="16"/>
              </w:rPr>
              <w:t>Criterio verificable</w:t>
            </w:r>
          </w:p>
        </w:tc>
      </w:tr>
      <w:tr>
        <w:tc>
          <w:tcPr>
            <w:tcW w:type="dxa" w:w="3360"/>
          </w:tcPr>
          <w:p>
            <w:r>
              <w:rPr>
                <w:sz w:val="16"/>
              </w:rPr>
              <w:t>Portal dependiente de HTTP para todo el negocio</w:t>
            </w:r>
          </w:p>
        </w:tc>
        <w:tc>
          <w:tcPr>
            <w:tcW w:type="dxa" w:w="3360"/>
          </w:tcPr>
          <w:p>
            <w:r>
              <w:rPr>
                <w:sz w:val="16"/>
              </w:rPr>
              <w:t>Backend modular propio seleccionado al configurar el portal</w:t>
            </w:r>
          </w:p>
        </w:tc>
        <w:tc>
          <w:tcPr>
            <w:tcW w:type="dxa" w:w="3360"/>
          </w:tcPr>
          <w:p>
            <w:r>
              <w:rPr>
                <w:sz w:val="16"/>
              </w:rPr>
              <w:t>Sangre y órganos con todas las API detenidas</w:t>
            </w:r>
          </w:p>
        </w:tc>
      </w:tr>
      <w:tr>
        <w:tc>
          <w:tcPr>
            <w:tcW w:type="dxa" w:w="3360"/>
          </w:tcPr>
          <w:p>
            <w:r>
              <w:rPr>
                <w:sz w:val="16"/>
              </w:rPr>
              <w:t>Una instancia por API</w:t>
            </w:r>
          </w:p>
        </w:tc>
        <w:tc>
          <w:tcPr>
            <w:tcW w:type="dxa" w:w="3360"/>
          </w:tcPr>
          <w:p>
            <w:r>
              <w:rPr>
                <w:sz w:val="16"/>
              </w:rPr>
              <w:t>Dos instancias de cada propietario, incluida Identidad, con workers</w:t>
            </w:r>
          </w:p>
        </w:tc>
        <w:tc>
          <w:tcPr>
            <w:tcW w:type="dxa" w:w="3360"/>
          </w:tcPr>
          <w:p>
            <w:r>
              <w:rPr>
                <w:sz w:val="16"/>
              </w:rPr>
              <w:t>JSON/XML y flujo completo con las instancias A detenidas</w:t>
            </w:r>
          </w:p>
        </w:tc>
      </w:tr>
      <w:tr>
        <w:tc>
          <w:tcPr>
            <w:tcW w:type="dxa" w:w="3360"/>
          </w:tcPr>
          <w:p>
            <w:r>
              <w:rPr>
                <w:sz w:val="16"/>
              </w:rPr>
              <w:t>Persistencia separada por servicio en antecedentes</w:t>
            </w:r>
          </w:p>
        </w:tc>
        <w:tc>
          <w:tcPr>
            <w:tcW w:type="dxa" w:w="3360"/>
          </w:tcPr>
          <w:p>
            <w:r>
              <w:rPr>
                <w:sz w:val="16"/>
              </w:rPr>
              <w:t>Base red_house, 71 tablas y vistas access_*</w:t>
            </w:r>
          </w:p>
        </w:tc>
        <w:tc>
          <w:tcPr>
            <w:tcW w:type="dxa" w:w="3360"/>
          </w:tcPr>
          <w:p>
            <w:r>
              <w:rPr>
                <w:sz w:val="16"/>
              </w:rPr>
              <w:t>Esquema físico, permisos y pruebas de la base compartida</w:t>
            </w:r>
          </w:p>
        </w:tc>
      </w:tr>
      <w:tr>
        <w:tc>
          <w:tcPr>
            <w:tcW w:type="dxa" w:w="3360"/>
          </w:tcPr>
          <w:p>
            <w:r>
              <w:rPr>
                <w:sz w:val="16"/>
              </w:rPr>
              <w:t>Infraestructura sin Compose</w:t>
            </w:r>
          </w:p>
        </w:tc>
        <w:tc>
          <w:tcPr>
            <w:tcW w:type="dxa" w:w="3360"/>
          </w:tcPr>
          <w:p>
            <w:r>
              <w:rPr>
                <w:sz w:val="16"/>
              </w:rPr>
              <w:t>Dockerfiles propios, redes, volúmenes, secretos e inicializador</w:t>
            </w:r>
          </w:p>
        </w:tc>
        <w:tc>
          <w:tcPr>
            <w:tcW w:type="dxa" w:w="3360"/>
          </w:tcPr>
          <w:p>
            <w:r>
              <w:rPr>
                <w:sz w:val="16"/>
              </w:rPr>
              <w:t>Construcción, arranque, reinicio y recreación de instancias</w:t>
            </w:r>
          </w:p>
        </w:tc>
      </w:tr>
      <w:tr>
        <w:tc>
          <w:tcPr>
            <w:tcW w:type="dxa" w:w="3360"/>
          </w:tcPr>
          <w:p>
            <w:r>
              <w:rPr>
                <w:sz w:val="16"/>
              </w:rPr>
              <w:t>MongoDB con eventos inmutables</w:t>
            </w:r>
          </w:p>
        </w:tc>
        <w:tc>
          <w:tcPr>
            <w:tcW w:type="dxa" w:w="3360"/>
          </w:tcPr>
          <w:p>
            <w:r>
              <w:rPr>
                <w:sz w:val="16"/>
              </w:rPr>
              <w:t>Proyección mutable de seguimiento, versionada y reconstruible</w:t>
            </w:r>
          </w:p>
        </w:tc>
        <w:tc>
          <w:tcPr>
            <w:tcW w:type="dxa" w:w="3360"/>
          </w:tcPr>
          <w:p>
            <w:r>
              <w:rPr>
                <w:sz w:val="16"/>
              </w:rPr>
              <w:t>Actualización, duplicados, desorden, reconstrucción e índice</w:t>
            </w:r>
          </w:p>
        </w:tc>
      </w:tr>
      <w:tr>
        <w:tc>
          <w:tcPr>
            <w:tcW w:type="dxa" w:w="3360"/>
          </w:tcPr>
          <w:p>
            <w:r>
              <w:rPr>
                <w:sz w:val="16"/>
              </w:rPr>
              <w:t>Adaptador de archivos sin flujo web completo</w:t>
            </w:r>
          </w:p>
        </w:tc>
        <w:tc>
          <w:tcPr>
            <w:tcW w:type="dxa" w:w="3360"/>
          </w:tcPr>
          <w:p>
            <w:r>
              <w:rPr>
                <w:sz w:val="16"/>
              </w:rPr>
              <w:t>Selección, carga, verificación, estados y descarga privada</w:t>
            </w:r>
          </w:p>
        </w:tc>
        <w:tc>
          <w:tcPr>
            <w:tcW w:type="dxa" w:w="3360"/>
          </w:tcPr>
          <w:p>
            <w:r>
              <w:rPr>
                <w:sz w:val="16"/>
              </w:rPr>
              <w:t>Prueba con bucket real, archivo inválido y URL expirada</w:t>
            </w:r>
          </w:p>
        </w:tc>
      </w:tr>
      <w:tr>
        <w:tc>
          <w:tcPr>
            <w:tcW w:type="dxa" w:w="3360"/>
          </w:tcPr>
          <w:p>
            <w:r>
              <w:rPr>
                <w:sz w:val="16"/>
              </w:rPr>
              <w:t>Ejemplos estáticos de API</w:t>
            </w:r>
          </w:p>
        </w:tc>
        <w:tc>
          <w:tcPr>
            <w:tcW w:type="dxa" w:w="3360"/>
          </w:tcPr>
          <w:p>
            <w:r>
              <w:rPr>
                <w:sz w:val="16"/>
              </w:rPr>
              <w:t>Captura optativa de solicitudes ejecutadas y verificación de persistencia</w:t>
            </w:r>
          </w:p>
        </w:tc>
        <w:tc>
          <w:tcPr>
            <w:tcW w:type="dxa" w:w="3360"/>
          </w:tcPr>
          <w:p>
            <w:r>
              <w:rPr>
                <w:sz w:val="16"/>
              </w:rPr>
              <w:t>Inventario y expediente HTTP con fecha, versión y correlación</w:t>
            </w:r>
          </w:p>
        </w:tc>
      </w:tr>
    </w:tbl>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r>
              <w:rPr>
                <w:sz w:val="16"/>
              </w:rPr>
              <w:t>ID</w:t>
            </w:r>
          </w:p>
        </w:tc>
        <w:tc>
          <w:tcPr>
            <w:tcW w:type="dxa" w:w="3360"/>
          </w:tcPr>
          <w:p>
            <w:r>
              <w:rPr>
                <w:sz w:val="16"/>
              </w:rPr>
              <w:t>Requisito comprometido</w:t>
            </w:r>
          </w:p>
        </w:tc>
        <w:tc>
          <w:tcPr>
            <w:tcW w:type="dxa" w:w="3360"/>
          </w:tcPr>
          <w:p>
            <w:r>
              <w:rPr>
                <w:sz w:val="16"/>
              </w:rPr>
              <w:t>Implementación / evidencia</w:t>
            </w:r>
          </w:p>
        </w:tc>
      </w:tr>
      <w:tr>
        <w:tc>
          <w:tcPr>
            <w:tcW w:type="dxa" w:w="3360"/>
          </w:tcPr>
          <w:p>
            <w:r>
              <w:rPr>
                <w:sz w:val="16"/>
              </w:rPr>
              <w:t>RF-01</w:t>
            </w:r>
          </w:p>
        </w:tc>
        <w:tc>
          <w:tcPr>
            <w:tcW w:type="dxa" w:w="3360"/>
          </w:tcPr>
          <w:p>
            <w:r>
              <w:rPr>
                <w:sz w:val="16"/>
              </w:rPr>
              <w:t>Identidad, sesión y administración</w:t>
            </w:r>
          </w:p>
        </w:tc>
        <w:tc>
          <w:tcPr>
            <w:tcW w:type="dxa" w:w="3360"/>
          </w:tcPr>
          <w:p>
            <w:r>
              <w:rPr>
                <w:sz w:val="16"/>
              </w:rPr>
              <w:t>ms_identidad_acceso; pruebas de seguridad y administración web</w:t>
            </w:r>
          </w:p>
        </w:tc>
      </w:tr>
      <w:tr>
        <w:tc>
          <w:tcPr>
            <w:tcW w:type="dxa" w:w="3360"/>
          </w:tcPr>
          <w:p>
            <w:r>
              <w:rPr>
                <w:sz w:val="16"/>
              </w:rPr>
              <w:t>RF-02</w:t>
            </w:r>
          </w:p>
        </w:tc>
        <w:tc>
          <w:tcPr>
            <w:tcW w:type="dxa" w:w="3360"/>
          </w:tcPr>
          <w:p>
            <w:r>
              <w:rPr>
                <w:sz w:val="16"/>
              </w:rPr>
              <w:t>Donantes, campañas, citas y procesamiento</w:t>
            </w:r>
          </w:p>
        </w:tc>
        <w:tc>
          <w:tcPr>
            <w:tcW w:type="dxa" w:w="3360"/>
          </w:tcPr>
          <w:p>
            <w:r>
              <w:rPr>
                <w:sz w:val="16"/>
              </w:rPr>
              <w:t>ms_donantes; flujo de donación/procesamiento</w:t>
            </w:r>
          </w:p>
        </w:tc>
      </w:tr>
      <w:tr>
        <w:tc>
          <w:tcPr>
            <w:tcW w:type="dxa" w:w="3360"/>
          </w:tcPr>
          <w:p>
            <w:r>
              <w:rPr>
                <w:sz w:val="16"/>
              </w:rPr>
              <w:t>RF-03</w:t>
            </w:r>
          </w:p>
        </w:tc>
        <w:tc>
          <w:tcPr>
            <w:tcW w:type="dxa" w:w="3360"/>
          </w:tcPr>
          <w:p>
            <w:r>
              <w:rPr>
                <w:sz w:val="16"/>
              </w:rPr>
              <w:t>Receptores y solicitudes</w:t>
            </w:r>
          </w:p>
        </w:tc>
        <w:tc>
          <w:tcPr>
            <w:tcW w:type="dxa" w:w="3360"/>
          </w:tcPr>
          <w:p>
            <w:r>
              <w:rPr>
                <w:sz w:val="16"/>
              </w:rPr>
              <w:t>ms_receptores; retenciones y cierre por recepción</w:t>
            </w:r>
          </w:p>
        </w:tc>
      </w:tr>
      <w:tr>
        <w:tc>
          <w:tcPr>
            <w:tcW w:type="dxa" w:w="3360"/>
          </w:tcPr>
          <w:p>
            <w:r>
              <w:rPr>
                <w:sz w:val="16"/>
              </w:rPr>
              <w:t>RF-04</w:t>
            </w:r>
          </w:p>
        </w:tc>
        <w:tc>
          <w:tcPr>
            <w:tcW w:type="dxa" w:w="3360"/>
          </w:tcPr>
          <w:p>
            <w:r>
              <w:rPr>
                <w:sz w:val="16"/>
              </w:rPr>
              <w:t>Inventario, disponibilidad y reservas</w:t>
            </w:r>
          </w:p>
        </w:tc>
        <w:tc>
          <w:tcPr>
            <w:tcW w:type="dxa" w:w="3360"/>
          </w:tcPr>
          <w:p>
            <w:r>
              <w:rPr>
                <w:sz w:val="16"/>
              </w:rPr>
              <w:t>ms_inventario; concurrencia, idempotencia y recuperación</w:t>
            </w:r>
          </w:p>
        </w:tc>
      </w:tr>
      <w:tr>
        <w:tc>
          <w:tcPr>
            <w:tcW w:type="dxa" w:w="3360"/>
          </w:tcPr>
          <w:p>
            <w:r>
              <w:rPr>
                <w:sz w:val="16"/>
              </w:rPr>
              <w:t>RF-05</w:t>
            </w:r>
          </w:p>
        </w:tc>
        <w:tc>
          <w:tcPr>
            <w:tcW w:type="dxa" w:w="3360"/>
          </w:tcPr>
          <w:p>
            <w:r>
              <w:rPr>
                <w:sz w:val="16"/>
              </w:rPr>
              <w:t>Evaluación y dictamen humano</w:t>
            </w:r>
          </w:p>
        </w:tc>
        <w:tc>
          <w:tcPr>
            <w:tcW w:type="dxa" w:w="3360"/>
          </w:tcPr>
          <w:p>
            <w:r>
              <w:rPr>
                <w:sz w:val="16"/>
              </w:rPr>
              <w:t>ms_compatibilidad; entradas y versiones conservadas</w:t>
            </w:r>
          </w:p>
        </w:tc>
      </w:tr>
      <w:tr>
        <w:tc>
          <w:tcPr>
            <w:tcW w:type="dxa" w:w="3360"/>
          </w:tcPr>
          <w:p>
            <w:r>
              <w:rPr>
                <w:sz w:val="16"/>
              </w:rPr>
              <w:t>RF-06</w:t>
            </w:r>
          </w:p>
        </w:tc>
        <w:tc>
          <w:tcPr>
            <w:tcW w:type="dxa" w:w="3360"/>
          </w:tcPr>
          <w:p>
            <w:r>
              <w:rPr>
                <w:sz w:val="16"/>
              </w:rPr>
              <w:t>Rutas, ranking y propuesta</w:t>
            </w:r>
          </w:p>
        </w:tc>
        <w:tc>
          <w:tcPr>
            <w:tcW w:type="dxa" w:w="3360"/>
          </w:tcPr>
          <w:p>
            <w:r>
              <w:rPr>
                <w:sz w:val="16"/>
              </w:rPr>
              <w:t>ms_priorizacion_geografia; pruebas de matching y límites</w:t>
            </w:r>
          </w:p>
        </w:tc>
      </w:tr>
      <w:tr>
        <w:tc>
          <w:tcPr>
            <w:tcW w:type="dxa" w:w="3360"/>
          </w:tcPr>
          <w:p>
            <w:r>
              <w:rPr>
                <w:sz w:val="16"/>
              </w:rPr>
              <w:t>RF-07</w:t>
            </w:r>
          </w:p>
        </w:tc>
        <w:tc>
          <w:tcPr>
            <w:tcW w:type="dxa" w:w="3360"/>
          </w:tcPr>
          <w:p>
            <w:r>
              <w:rPr>
                <w:sz w:val="16"/>
              </w:rPr>
              <w:t>Traslado, ubicación y recepción</w:t>
            </w:r>
          </w:p>
        </w:tc>
        <w:tc>
          <w:tcPr>
            <w:tcW w:type="dxa" w:w="3360"/>
          </w:tcPr>
          <w:p>
            <w:r>
              <w:rPr>
                <w:sz w:val="16"/>
              </w:rPr>
              <w:t>ms_transporte; flujo integrado y autorización por responsable</w:t>
            </w:r>
          </w:p>
        </w:tc>
      </w:tr>
      <w:tr>
        <w:tc>
          <w:tcPr>
            <w:tcW w:type="dxa" w:w="3360"/>
          </w:tcPr>
          <w:p>
            <w:r>
              <w:rPr>
                <w:sz w:val="16"/>
              </w:rPr>
              <w:t>RF-08</w:t>
            </w:r>
          </w:p>
        </w:tc>
        <w:tc>
          <w:tcPr>
            <w:tcW w:type="dxa" w:w="3360"/>
          </w:tcPr>
          <w:p>
            <w:r>
              <w:rPr>
                <w:sz w:val="16"/>
              </w:rPr>
              <w:t>Cadena de custodia</w:t>
            </w:r>
          </w:p>
        </w:tc>
        <w:tc>
          <w:tcPr>
            <w:tcW w:type="dxa" w:w="3360"/>
          </w:tcPr>
          <w:p>
            <w:r>
              <w:rPr>
                <w:sz w:val="16"/>
              </w:rPr>
              <w:t>ms_custodia; orden, deduplicación y verificación de hashes</w:t>
            </w:r>
          </w:p>
        </w:tc>
      </w:tr>
      <w:tr>
        <w:tc>
          <w:tcPr>
            <w:tcW w:type="dxa" w:w="3360"/>
          </w:tcPr>
          <w:p>
            <w:r>
              <w:rPr>
                <w:sz w:val="16"/>
              </w:rPr>
              <w:t>RF-09</w:t>
            </w:r>
          </w:p>
        </w:tc>
        <w:tc>
          <w:tcPr>
            <w:tcW w:type="dxa" w:w="3360"/>
          </w:tcPr>
          <w:p>
            <w:r>
              <w:rPr>
                <w:sz w:val="16"/>
              </w:rPr>
              <w:t>Avisos y auditoría</w:t>
            </w:r>
          </w:p>
        </w:tc>
        <w:tc>
          <w:tcPr>
            <w:tcW w:type="dxa" w:w="3360"/>
          </w:tcPr>
          <w:p>
            <w:r>
              <w:rPr>
                <w:sz w:val="16"/>
              </w:rPr>
              <w:t>ms_alertas, ms_auditoria; outbox, inbox y consulta autorizada</w:t>
            </w:r>
          </w:p>
        </w:tc>
      </w:tr>
      <w:tr>
        <w:tc>
          <w:tcPr>
            <w:tcW w:type="dxa" w:w="3360"/>
          </w:tcPr>
          <w:p>
            <w:r>
              <w:rPr>
                <w:sz w:val="16"/>
              </w:rPr>
              <w:t>RF-10</w:t>
            </w:r>
          </w:p>
        </w:tc>
        <w:tc>
          <w:tcPr>
            <w:tcW w:type="dxa" w:w="3360"/>
          </w:tcPr>
          <w:p>
            <w:r>
              <w:rPr>
                <w:sz w:val="16"/>
              </w:rPr>
              <w:t>Monitoreo y degradación</w:t>
            </w:r>
          </w:p>
        </w:tc>
        <w:tc>
          <w:tcPr>
            <w:tcW w:type="dxa" w:w="3360"/>
          </w:tcPr>
          <w:p>
            <w:r>
              <w:rPr>
                <w:sz w:val="16"/>
              </w:rPr>
              <w:t>servicio_monitoreo; sondeos y pipelines documentales</w:t>
            </w:r>
          </w:p>
        </w:tc>
      </w:tr>
      <w:tr>
        <w:tc>
          <w:tcPr>
            <w:tcW w:type="dxa" w:w="3360"/>
          </w:tcPr>
          <w:p>
            <w:r>
              <w:rPr>
                <w:sz w:val="16"/>
              </w:rPr>
              <w:t>RF-11</w:t>
            </w:r>
          </w:p>
        </w:tc>
        <w:tc>
          <w:tcPr>
            <w:tcW w:type="dxa" w:w="3360"/>
          </w:tcPr>
          <w:p>
            <w:r>
              <w:rPr>
                <w:sz w:val="16"/>
              </w:rPr>
              <w:t>Archivos privados</w:t>
            </w:r>
          </w:p>
        </w:tc>
        <w:tc>
          <w:tcPr>
            <w:tcW w:type="dxa" w:w="3360"/>
          </w:tcPr>
          <w:p>
            <w:r>
              <w:rPr>
                <w:sz w:val="16"/>
              </w:rPr>
              <w:t>Transporte, formulario web y GCS; pruebas de archivos reales</w:t>
            </w:r>
          </w:p>
        </w:tc>
      </w:tr>
      <w:tr>
        <w:tc>
          <w:tcPr>
            <w:tcW w:type="dxa" w:w="3360"/>
          </w:tcPr>
          <w:p>
            <w:r>
              <w:rPr>
                <w:sz w:val="16"/>
              </w:rPr>
              <w:t>RNF-01</w:t>
            </w:r>
          </w:p>
        </w:tc>
        <w:tc>
          <w:tcPr>
            <w:tcW w:type="dxa" w:w="3360"/>
          </w:tcPr>
          <w:p>
            <w:r>
              <w:rPr>
                <w:sz w:val="16"/>
              </w:rPr>
              <w:t>Autorización uniforme</w:t>
            </w:r>
          </w:p>
        </w:tc>
        <w:tc>
          <w:tcPr>
            <w:tcW w:type="dxa" w:w="3360"/>
          </w:tcPr>
          <w:p>
            <w:r>
              <w:rPr>
                <w:sz w:val="16"/>
              </w:rPr>
              <w:t>RS256, Redis, permisos por rol/institución/recurso</w:t>
            </w:r>
          </w:p>
        </w:tc>
      </w:tr>
      <w:tr>
        <w:tc>
          <w:tcPr>
            <w:tcW w:type="dxa" w:w="3360"/>
          </w:tcPr>
          <w:p>
            <w:r>
              <w:rPr>
                <w:sz w:val="16"/>
              </w:rPr>
              <w:t>RNF-02</w:t>
            </w:r>
          </w:p>
        </w:tc>
        <w:tc>
          <w:tcPr>
            <w:tcW w:type="dxa" w:w="3360"/>
          </w:tcPr>
          <w:p>
            <w:r>
              <w:rPr>
                <w:sz w:val="16"/>
              </w:rPr>
              <w:t>Continuidad</w:t>
            </w:r>
          </w:p>
        </w:tc>
        <w:tc>
          <w:tcPr>
            <w:tcW w:type="dxa" w:w="3360"/>
          </w:tcPr>
          <w:p>
            <w:r>
              <w:rPr>
                <w:sz w:val="16"/>
              </w:rPr>
              <w:t>Backend propio web, dos instancias por API, workers idempotentes</w:t>
            </w:r>
          </w:p>
        </w:tc>
      </w:tr>
      <w:tr>
        <w:tc>
          <w:tcPr>
            <w:tcW w:type="dxa" w:w="3360"/>
          </w:tcPr>
          <w:p>
            <w:r>
              <w:rPr>
                <w:sz w:val="16"/>
              </w:rPr>
              <w:t>RNF-03</w:t>
            </w:r>
          </w:p>
        </w:tc>
        <w:tc>
          <w:tcPr>
            <w:tcW w:type="dxa" w:w="3360"/>
          </w:tcPr>
          <w:p>
            <w:r>
              <w:rPr>
                <w:sz w:val="16"/>
              </w:rPr>
              <w:t>Contratos interoperables</w:t>
            </w:r>
          </w:p>
        </w:tc>
        <w:tc>
          <w:tcPr>
            <w:tcW w:type="dxa" w:w="3360"/>
          </w:tcPr>
          <w:p>
            <w:r>
              <w:rPr>
                <w:sz w:val="16"/>
              </w:rPr>
              <w:t>OpenAPI, DTO JSON, XML/XSD, errores uniformes</w:t>
            </w:r>
          </w:p>
        </w:tc>
      </w:tr>
      <w:tr>
        <w:tc>
          <w:tcPr>
            <w:tcW w:type="dxa" w:w="3360"/>
          </w:tcPr>
          <w:p>
            <w:r>
              <w:rPr>
                <w:sz w:val="16"/>
              </w:rPr>
              <w:t>RNF-04</w:t>
            </w:r>
          </w:p>
        </w:tc>
        <w:tc>
          <w:tcPr>
            <w:tcW w:type="dxa" w:w="3360"/>
          </w:tcPr>
          <w:p>
            <w:r>
              <w:rPr>
                <w:sz w:val="16"/>
              </w:rPr>
              <w:t>Reproducibilidad</w:t>
            </w:r>
          </w:p>
        </w:tc>
        <w:tc>
          <w:tcPr>
            <w:tcW w:type="dxa" w:w="3360"/>
          </w:tcPr>
          <w:p>
            <w:r>
              <w:rPr>
                <w:sz w:val="16"/>
              </w:rPr>
              <w:t>deployment/README.md, Compose y secretos generados</w:t>
            </w:r>
          </w:p>
        </w:tc>
      </w:tr>
      <w:tr>
        <w:tc>
          <w:tcPr>
            <w:tcW w:type="dxa" w:w="3360"/>
          </w:tcPr>
          <w:p>
            <w:r>
              <w:rPr>
                <w:sz w:val="16"/>
              </w:rPr>
              <w:t>RNF-05</w:t>
            </w:r>
          </w:p>
        </w:tc>
        <w:tc>
          <w:tcPr>
            <w:tcW w:type="dxa" w:w="3360"/>
          </w:tcPr>
          <w:p>
            <w:r>
              <w:rPr>
                <w:sz w:val="16"/>
              </w:rPr>
              <w:t>Recuperación y trazabilidad</w:t>
            </w:r>
          </w:p>
        </w:tc>
        <w:tc>
          <w:tcPr>
            <w:tcW w:type="dxa" w:w="3360"/>
          </w:tcPr>
          <w:p>
            <w:r>
              <w:rPr>
                <w:sz w:val="16"/>
              </w:rPr>
              <w:t>Operaciones persistentes, correlación, auditoría y pruebas de fallos</w:t>
            </w:r>
          </w:p>
        </w:tc>
      </w:tr>
    </w:tbl>
    <w:p/>
    <w:p>
      <w:r>
        <w:t>La matriz de cierre determina qué criterios tienen evidencia final y cuáles conservan limitaciones. Las cifras históricas no se suman a las pruebas nuevas.</w:t>
      </w:r>
    </w:p>
    <w:p>
      <w:pPr>
        <w:pStyle w:val="Heading2"/>
      </w:pPr>
      <w:r>
        <w:t>4. Arquitectura y continuidad</w:t>
      </w:r>
    </w:p>
    <w:p>
      <w:r>
        <w:drawing>
          <wp:inline xmlns:a="http://schemas.openxmlformats.org/drawingml/2006/main" xmlns:pic="http://schemas.openxmlformats.org/drawingml/2006/picture">
            <wp:extent cx="6126480" cy="6072873"/>
            <wp:docPr id="1" name="Picture 1"/>
            <wp:cNvGraphicFramePr>
              <a:graphicFrameLocks noChangeAspect="1"/>
            </wp:cNvGraphicFramePr>
            <a:graphic>
              <a:graphicData uri="http://schemas.openxmlformats.org/drawingml/2006/picture">
                <pic:pic>
                  <pic:nvPicPr>
                    <pic:cNvPr id="0" name="componentes.png"/>
                    <pic:cNvPicPr/>
                  </pic:nvPicPr>
                  <pic:blipFill>
                    <a:blip r:embed="rId10"/>
                    <a:stretch>
                      <a:fillRect/>
                    </a:stretch>
                  </pic:blipFill>
                  <pic:spPr>
                    <a:xfrm>
                      <a:off x="0" y="0"/>
                      <a:ext cx="6126480" cy="6072873"/>
                    </a:xfrm>
                    <a:prstGeom prst="rect"/>
                  </pic:spPr>
                </pic:pic>
              </a:graphicData>
            </a:graphic>
          </wp:inline>
        </w:drawing>
      </w:r>
    </w:p>
    <w:p>
      <w:pPr>
        <w:pStyle w:val="Caption"/>
      </w:pPr>
      <w:r>
        <w:t>Componentes actuales</w:t>
      </w:r>
    </w:p>
    <w:p>
      <w:r>
        <w:t>El navegador consume HTML y formularios del portal. El módulo de integración traduce cada operación a un contrato de aplicación. En modo monolith, ApplicationKernel ejecuta los módulos Flask mediante WSGI dentro del proceso, sin abrir listeners internos. El mismo controlador valida entradas, JWT, permisos Redis, reglas y transacciones. Las llamadas internas conservan firma de servicio y delegación del usuario. El modo HTTP se conserva como configuración explícita para pruebas y entornos anteriores; no es un fallback automático.</w:t>
      </w:r>
    </w:p>
    <w:p>
      <w:r>
        <w:t>Cada módulo accede a PostgreSQL con su propia credencial limitada. El portal es una aplicación backend autorizada, no un cliente móvil con acceso directo a bases. Los microservicios no dependen de las vistas, plantillas ni sesiones privadas del portal. Las imágenes de dominio contienen únicamente su módulo y la biblioteca común; cada imagen puede actualizarse de forma individual.</w:t>
      </w:r>
    </w:p>
    <w:p>
      <w:r>
        <w:t>La reutilización se fija mediante versión 0.3.0 y hashes de fuente en la evidencia. Una actualización de una API no modifica el código ya cargado en el portal. La compatibilidad de contratos y migraciones se debe conservar durante el despliegue gradual.</w:t>
      </w:r>
    </w:p>
    <w:p>
      <w:r>
        <w:drawing>
          <wp:inline xmlns:a="http://schemas.openxmlformats.org/drawingml/2006/main" xmlns:pic="http://schemas.openxmlformats.org/drawingml/2006/picture">
            <wp:extent cx="6126480" cy="2148097"/>
            <wp:docPr id="2" name="Picture 2"/>
            <wp:cNvGraphicFramePr>
              <a:graphicFrameLocks noChangeAspect="1"/>
            </wp:cNvGraphicFramePr>
            <a:graphic>
              <a:graphicData uri="http://schemas.openxmlformats.org/drawingml/2006/picture">
                <pic:pic>
                  <pic:nvPicPr>
                    <pic:cNvPr id="0" name="despliegue.png"/>
                    <pic:cNvPicPr/>
                  </pic:nvPicPr>
                  <pic:blipFill>
                    <a:blip r:embed="rId11"/>
                    <a:stretch>
                      <a:fillRect/>
                    </a:stretch>
                  </pic:blipFill>
                  <pic:spPr>
                    <a:xfrm>
                      <a:off x="0" y="0"/>
                      <a:ext cx="6126480" cy="2148097"/>
                    </a:xfrm>
                    <a:prstGeom prst="rect"/>
                  </pic:spPr>
                </pic:pic>
              </a:graphicData>
            </a:graphic>
          </wp:inline>
        </w:drawing>
      </w:r>
    </w:p>
    <w:p>
      <w:pPr>
        <w:pStyle w:val="Caption"/>
      </w:pPr>
      <w:r>
        <w:t>Despliegue y redes</w:t>
      </w:r>
    </w:p>
    <w:p>
      <w:r>
        <w:t>Nginx descubre dos destinos por servicio mediante DNS Docker. Hay redundancia para Identidad y los otros diez propietarios. Cada instancia supervisa su API y su worker. La web ejecuta sus propios workers de todos los dominios. Los workers comparten colas SQL con bloqueo FOR UPDATE SKIP LOCKED; los consumidores deduplican eventos. La proyección MongoDB también admite duplicados y orden de entrega diferente.</w:t>
      </w:r>
    </w:p>
    <w:p>
      <w:r>
        <w:t>El gateway reintenta conexiones fallidas sin habilitar non_idempotent. Una respuesta perdida después de enviar una escritura tiene resultado incierto. El cliente conserva Idempotency-Key, consulta la operación y repite con la misma clave solo según su contrato. No cambia a otro backend después de escribir. Reservas y retenciones tienen identidad persistente y recuperación explícita.</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rPr>
                <w:sz w:val="16"/>
              </w:rPr>
              <w:t>Fallo</w:t>
            </w:r>
          </w:p>
        </w:tc>
        <w:tc>
          <w:tcPr>
            <w:tcW w:type="dxa" w:w="2520"/>
          </w:tcPr>
          <w:p>
            <w:r>
              <w:rPr>
                <w:sz w:val="16"/>
              </w:rPr>
              <w:t>Portal modular</w:t>
            </w:r>
          </w:p>
        </w:tc>
        <w:tc>
          <w:tcPr>
            <w:tcW w:type="dxa" w:w="2520"/>
          </w:tcPr>
          <w:p>
            <w:r>
              <w:rPr>
                <w:sz w:val="16"/>
              </w:rPr>
              <w:t>Clientes API</w:t>
            </w:r>
          </w:p>
        </w:tc>
        <w:tc>
          <w:tcPr>
            <w:tcW w:type="dxa" w:w="2520"/>
          </w:tcPr>
          <w:p>
            <w:r>
              <w:rPr>
                <w:sz w:val="16"/>
              </w:rPr>
              <w:t>Recuperación</w:t>
            </w:r>
          </w:p>
        </w:tc>
      </w:tr>
      <w:tr>
        <w:tc>
          <w:tcPr>
            <w:tcW w:type="dxa" w:w="2520"/>
          </w:tcPr>
          <w:p>
            <w:r>
              <w:rPr>
                <w:sz w:val="16"/>
              </w:rPr>
              <w:t>Una API o su worker</w:t>
            </w:r>
          </w:p>
        </w:tc>
        <w:tc>
          <w:tcPr>
            <w:tcW w:type="dxa" w:w="2520"/>
          </w:tcPr>
          <w:p>
            <w:r>
              <w:rPr>
                <w:sz w:val="16"/>
              </w:rPr>
              <w:t>Opera con backend y workers propios</w:t>
            </w:r>
          </w:p>
        </w:tc>
        <w:tc>
          <w:tcPr>
            <w:tcW w:type="dxa" w:w="2520"/>
          </w:tcPr>
          <w:p>
            <w:r>
              <w:rPr>
                <w:sz w:val="16"/>
              </w:rPr>
              <w:t>Instancia restante atiende el flujo</w:t>
            </w:r>
          </w:p>
        </w:tc>
        <w:tc>
          <w:tcPr>
            <w:tcW w:type="dxa" w:w="2520"/>
          </w:tcPr>
          <w:p>
            <w:r>
              <w:rPr>
                <w:sz w:val="16"/>
              </w:rPr>
              <w:t>Reinicio supervisado y DNS</w:t>
            </w:r>
          </w:p>
        </w:tc>
      </w:tr>
      <w:tr>
        <w:tc>
          <w:tcPr>
            <w:tcW w:type="dxa" w:w="2520"/>
          </w:tcPr>
          <w:p>
            <w:r>
              <w:rPr>
                <w:sz w:val="16"/>
              </w:rPr>
              <w:t>Todas las API de un servicio</w:t>
            </w:r>
          </w:p>
        </w:tc>
        <w:tc>
          <w:tcPr>
            <w:tcW w:type="dxa" w:w="2520"/>
          </w:tcPr>
          <w:p>
            <w:r>
              <w:rPr>
                <w:sz w:val="16"/>
              </w:rPr>
              <w:t>Opera si sus dependencias de datos siguen disponibles</w:t>
            </w:r>
          </w:p>
        </w:tc>
        <w:tc>
          <w:tcPr>
            <w:tcW w:type="dxa" w:w="2520"/>
          </w:tcPr>
          <w:p>
            <w:r>
              <w:rPr>
                <w:sz w:val="16"/>
              </w:rPr>
              <w:t>Fallan operaciones que requieren ese propietario</w:t>
            </w:r>
          </w:p>
        </w:tc>
        <w:tc>
          <w:tcPr>
            <w:tcW w:type="dxa" w:w="2520"/>
          </w:tcPr>
          <w:p>
            <w:r>
              <w:rPr>
                <w:sz w:val="16"/>
              </w:rPr>
              <w:t>Restablecer instancia; consultar estado antes de repetir</w:t>
            </w:r>
          </w:p>
        </w:tc>
      </w:tr>
      <w:tr>
        <w:tc>
          <w:tcPr>
            <w:tcW w:type="dxa" w:w="2520"/>
          </w:tcPr>
          <w:p>
            <w:r>
              <w:rPr>
                <w:sz w:val="16"/>
              </w:rPr>
              <w:t>Redis</w:t>
            </w:r>
          </w:p>
        </w:tc>
        <w:tc>
          <w:tcPr>
            <w:tcW w:type="dxa" w:w="2520"/>
          </w:tcPr>
          <w:p>
            <w:r>
              <w:rPr>
                <w:sz w:val="16"/>
              </w:rPr>
              <w:t>Rechazo de operaciones protegidas</w:t>
            </w:r>
          </w:p>
        </w:tc>
        <w:tc>
          <w:tcPr>
            <w:tcW w:type="dxa" w:w="2520"/>
          </w:tcPr>
          <w:p>
            <w:r>
              <w:rPr>
                <w:sz w:val="16"/>
              </w:rPr>
              <w:t>Igual</w:t>
            </w:r>
          </w:p>
        </w:tc>
        <w:tc>
          <w:tcPr>
            <w:tcW w:type="dxa" w:w="2520"/>
          </w:tcPr>
          <w:p>
            <w:r>
              <w:rPr>
                <w:sz w:val="16"/>
              </w:rPr>
              <w:t>Restablecer Redis y verificar sesión; no omitir seguridad</w:t>
            </w:r>
          </w:p>
        </w:tc>
      </w:tr>
      <w:tr>
        <w:tc>
          <w:tcPr>
            <w:tcW w:type="dxa" w:w="2520"/>
          </w:tcPr>
          <w:p>
            <w:r>
              <w:rPr>
                <w:sz w:val="16"/>
              </w:rPr>
              <w:t>PostgreSQL</w:t>
            </w:r>
          </w:p>
        </w:tc>
        <w:tc>
          <w:tcPr>
            <w:tcW w:type="dxa" w:w="2520"/>
          </w:tcPr>
          <w:p>
            <w:r>
              <w:rPr>
                <w:sz w:val="16"/>
              </w:rPr>
              <w:t>Operaciones transaccionales indisponibles</w:t>
            </w:r>
          </w:p>
        </w:tc>
        <w:tc>
          <w:tcPr>
            <w:tcW w:type="dxa" w:w="2520"/>
          </w:tcPr>
          <w:p>
            <w:r>
              <w:rPr>
                <w:sz w:val="16"/>
              </w:rPr>
              <w:t>Igual</w:t>
            </w:r>
          </w:p>
        </w:tc>
        <w:tc>
          <w:tcPr>
            <w:tcW w:type="dxa" w:w="2520"/>
          </w:tcPr>
          <w:p>
            <w:r>
              <w:rPr>
                <w:sz w:val="16"/>
              </w:rPr>
              <w:t>Restablecer base y recuperar coordinaciones pendientes</w:t>
            </w:r>
          </w:p>
        </w:tc>
      </w:tr>
      <w:tr>
        <w:tc>
          <w:tcPr>
            <w:tcW w:type="dxa" w:w="2520"/>
          </w:tcPr>
          <w:p>
            <w:r>
              <w:rPr>
                <w:sz w:val="16"/>
              </w:rPr>
              <w:t>MongoDB</w:t>
            </w:r>
          </w:p>
        </w:tc>
        <w:tc>
          <w:tcPr>
            <w:tcW w:type="dxa" w:w="2520"/>
          </w:tcPr>
          <w:p>
            <w:r>
              <w:rPr>
                <w:sz w:val="16"/>
              </w:rPr>
              <w:t>Outbox SQL conserva eventos; consulta documental degradada</w:t>
            </w:r>
          </w:p>
        </w:tc>
        <w:tc>
          <w:tcPr>
            <w:tcW w:type="dxa" w:w="2520"/>
          </w:tcPr>
          <w:p>
            <w:r>
              <w:rPr>
                <w:sz w:val="16"/>
              </w:rPr>
              <w:t>Igual</w:t>
            </w:r>
          </w:p>
        </w:tc>
        <w:tc>
          <w:tcPr>
            <w:tcW w:type="dxa" w:w="2520"/>
          </w:tcPr>
          <w:p>
            <w:r>
              <w:rPr>
                <w:sz w:val="16"/>
              </w:rPr>
              <w:t>Reintento idempotente y reconstrucción de proyección</w:t>
            </w:r>
          </w:p>
        </w:tc>
      </w:tr>
      <w:tr>
        <w:tc>
          <w:tcPr>
            <w:tcW w:type="dxa" w:w="2520"/>
          </w:tcPr>
          <w:p>
            <w:r>
              <w:rPr>
                <w:sz w:val="16"/>
              </w:rPr>
              <w:t>GCS</w:t>
            </w:r>
          </w:p>
        </w:tc>
        <w:tc>
          <w:tcPr>
            <w:tcW w:type="dxa" w:w="2520"/>
          </w:tcPr>
          <w:p>
            <w:r>
              <w:rPr>
                <w:sz w:val="16"/>
              </w:rPr>
              <w:t>Funciones sin archivo disponibles; evidencia pendiente/error</w:t>
            </w:r>
          </w:p>
        </w:tc>
        <w:tc>
          <w:tcPr>
            <w:tcW w:type="dxa" w:w="2520"/>
          </w:tcPr>
          <w:p>
            <w:r>
              <w:rPr>
                <w:sz w:val="16"/>
              </w:rPr>
              <w:t>Igual</w:t>
            </w:r>
          </w:p>
        </w:tc>
        <w:tc>
          <w:tcPr>
            <w:tcW w:type="dxa" w:w="2520"/>
          </w:tcPr>
          <w:p>
            <w:r>
              <w:rPr>
                <w:sz w:val="16"/>
              </w:rPr>
              <w:t>Consultar estado y verificar objeto existente</w:t>
            </w:r>
          </w:p>
        </w:tc>
      </w:tr>
      <w:tr>
        <w:tc>
          <w:tcPr>
            <w:tcW w:type="dxa" w:w="2520"/>
          </w:tcPr>
          <w:p>
            <w:r>
              <w:rPr>
                <w:sz w:val="16"/>
              </w:rPr>
              <w:t>Gateway</w:t>
            </w:r>
          </w:p>
        </w:tc>
        <w:tc>
          <w:tcPr>
            <w:tcW w:type="dxa" w:w="2520"/>
          </w:tcPr>
          <w:p>
            <w:r>
              <w:rPr>
                <w:sz w:val="16"/>
              </w:rPr>
              <w:t>Portal modular continúa</w:t>
            </w:r>
          </w:p>
        </w:tc>
        <w:tc>
          <w:tcPr>
            <w:tcW w:type="dxa" w:w="2520"/>
          </w:tcPr>
          <w:p>
            <w:r>
              <w:rPr>
                <w:sz w:val="16"/>
              </w:rPr>
              <w:t>API externa indisponible</w:t>
            </w:r>
          </w:p>
        </w:tc>
        <w:tc>
          <w:tcPr>
            <w:tcW w:type="dxa" w:w="2520"/>
          </w:tcPr>
          <w:p>
            <w:r>
              <w:rPr>
                <w:sz w:val="16"/>
              </w:rPr>
              <w:t>Restaurar gateway; no hay réplica de gateway en este alcance</w:t>
            </w:r>
          </w:p>
        </w:tc>
      </w:tr>
      <w:tr>
        <w:tc>
          <w:tcPr>
            <w:tcW w:type="dxa" w:w="2520"/>
          </w:tcPr>
          <w:p>
            <w:r>
              <w:rPr>
                <w:sz w:val="16"/>
              </w:rPr>
              <w:t>Host Docker</w:t>
            </w:r>
          </w:p>
        </w:tc>
        <w:tc>
          <w:tcPr>
            <w:tcW w:type="dxa" w:w="2520"/>
          </w:tcPr>
          <w:p>
            <w:r>
              <w:rPr>
                <w:sz w:val="16"/>
              </w:rPr>
              <w:t>Entorno indisponible</w:t>
            </w:r>
          </w:p>
        </w:tc>
        <w:tc>
          <w:tcPr>
            <w:tcW w:type="dxa" w:w="2520"/>
          </w:tcPr>
          <w:p>
            <w:r>
              <w:rPr>
                <w:sz w:val="16"/>
              </w:rPr>
              <w:t>Entorno indisponible</w:t>
            </w:r>
          </w:p>
        </w:tc>
        <w:tc>
          <w:tcPr>
            <w:tcW w:type="dxa" w:w="2520"/>
          </w:tcPr>
          <w:p>
            <w:r>
              <w:rPr>
                <w:sz w:val="16"/>
              </w:rPr>
              <w:t>Restaurar host, volúmenes y secretos</w:t>
            </w:r>
          </w:p>
        </w:tc>
      </w:tr>
    </w:tbl>
    <w:p/>
    <w:p>
      <w:r>
        <w:t>Dos contenedores en un host no equivalen a alta disponibilidad multizona. PostgreSQL, Redis, MongoDB, gateway y el host siguen siendo puntos únicos de infraestructura. Los resultados de disponibilidad se limitan al fallo de instancia comprobado.</w:t>
      </w:r>
    </w:p>
    <w:p>
      <w:pPr>
        <w:pStyle w:val="Heading2"/>
      </w:pPr>
      <w:r>
        <w:t>5. Procesos integrados</w:t>
      </w:r>
    </w:p>
    <w:p>
      <w:r>
        <w:drawing>
          <wp:inline xmlns:a="http://schemas.openxmlformats.org/drawingml/2006/main" xmlns:pic="http://schemas.openxmlformats.org/drawingml/2006/picture">
            <wp:extent cx="6126480" cy="3300641"/>
            <wp:docPr id="3" name="Picture 3"/>
            <wp:cNvGraphicFramePr>
              <a:graphicFrameLocks noChangeAspect="1"/>
            </wp:cNvGraphicFramePr>
            <a:graphic>
              <a:graphicData uri="http://schemas.openxmlformats.org/drawingml/2006/picture">
                <pic:pic>
                  <pic:nvPicPr>
                    <pic:cNvPr id="0" name="secuencia.png"/>
                    <pic:cNvPicPr/>
                  </pic:nvPicPr>
                  <pic:blipFill>
                    <a:blip r:embed="rId12"/>
                    <a:stretch>
                      <a:fillRect/>
                    </a:stretch>
                  </pic:blipFill>
                  <pic:spPr>
                    <a:xfrm>
                      <a:off x="0" y="0"/>
                      <a:ext cx="6126480" cy="3300641"/>
                    </a:xfrm>
                    <a:prstGeom prst="rect"/>
                  </pic:spPr>
                </pic:pic>
              </a:graphicData>
            </a:graphic>
          </wp:inline>
        </w:drawing>
      </w:r>
    </w:p>
    <w:p>
      <w:pPr>
        <w:pStyle w:val="Caption"/>
      </w:pPr>
      <w:r>
        <w:t>Secuencia de reserva y traslado</w:t>
      </w:r>
    </w:p>
    <w:p>
      <w:pPr>
        <w:pStyle w:val="Heading3"/>
      </w:pPr>
      <w:r>
        <w:t>Sangre y órganos</w:t>
      </w:r>
    </w:p>
    <w:p>
      <w:r>
        <w:t>El origen registra un recurso y un médico lo libera con confirmación y motivo. El destino registra receptor y solicitud. Compatibilidad conserva la evaluación, candidatos, exclusiones, ruta y versiones de reglas. El médico dicta favorable o desfavorable para cada candidato. Priorización presenta un orden operativo explicable; la propuesta no reserva automáticamente.</w:t>
      </w:r>
    </w:p>
    <w:p>
      <w:r>
        <w:t>Inventario crea una operación, solicita retención de capacidad a Receptores y bloquea el recurso. Las claves e índices impiden reservar dos veces el mismo recurso o cubrir en exceso una solicitud. Una confirmación pendiente se recupera; no se interpreta un timeout como ausencia de efecto.</w:t>
      </w:r>
    </w:p>
    <w:p>
      <w:r>
        <w:t>Coordinación planea el traslado con ruta y responsable. Origen prepara, transportista recoge, transporta y entrega, y destino acepta. Cada paso exige estado y versión compatibles, perfil autorizado y confirmación humana. La recepción actualiza inventario y cobertura de solicitud mediante eventos durables. Custodia conserva secuencia y hashes; Alertas y Auditoría reciben el mismo contexto de correlación minimizado.</w:t>
      </w:r>
    </w:p>
    <w:p>
      <w:r>
        <w:t>Para sangre RBC se conserva la regla documentada RBC-1.0. Para órganos, ORGAN-1.0 es una preselección académica por tipo y ABO idéntico, sin interpretación HLA. Los tres tipos de órgano existentes conservan pruebas separadas. No se infieren equivalencias entre sus ciclos clínicos.</w:t>
      </w:r>
    </w:p>
    <w:p>
      <w:pPr>
        <w:pStyle w:val="Heading3"/>
      </w:pPr>
      <w:r>
        <w:t>Donación y procesamiento</w:t>
      </w:r>
    </w:p>
    <w:p>
      <w:r>
        <w:t>Se registra el donante con consentimiento. Un médico documenta elegibilidad humana. La campaña define capacidad; la cita se registra transaccionalmente y no puede excederla. La donación conserva tipo, componente, fecha y confirmación. El operador registra procesamiento. Un recurso de inventario puede vincular su origen a esa donación, conservando trazabilidad; la aceptación de un formulario no certifica aptitud clínica.</w:t>
      </w:r>
    </w:p>
    <w:p>
      <w:pPr>
        <w:pStyle w:val="Heading3"/>
      </w:pPr>
      <w:r>
        <w:t>Archivos de un traslado</w:t>
      </w:r>
    </w:p>
    <w:p>
      <w:r>
        <w:drawing>
          <wp:inline xmlns:a="http://schemas.openxmlformats.org/drawingml/2006/main" xmlns:pic="http://schemas.openxmlformats.org/drawingml/2006/picture">
            <wp:extent cx="6126480" cy="4031990"/>
            <wp:docPr id="4" name="Picture 4"/>
            <wp:cNvGraphicFramePr>
              <a:graphicFrameLocks noChangeAspect="1"/>
            </wp:cNvGraphicFramePr>
            <a:graphic>
              <a:graphicData uri="http://schemas.openxmlformats.org/drawingml/2006/picture">
                <pic:pic>
                  <pic:nvPicPr>
                    <pic:cNvPr id="0" name="archivos.png"/>
                    <pic:cNvPicPr/>
                  </pic:nvPicPr>
                  <pic:blipFill>
                    <a:blip r:embed="rId13"/>
                    <a:stretch>
                      <a:fillRect/>
                    </a:stretch>
                  </pic:blipFill>
                  <pic:spPr>
                    <a:xfrm>
                      <a:off x="0" y="0"/>
                      <a:ext cx="6126480" cy="4031990"/>
                    </a:xfrm>
                    <a:prstGeom prst="rect"/>
                  </pic:spPr>
                </pic:pic>
              </a:graphicData>
            </a:graphic>
          </wp:inline>
        </w:drawing>
      </w:r>
    </w:p>
    <w:p>
      <w:pPr>
        <w:pStyle w:val="Caption"/>
      </w:pPr>
      <w:r>
        <w:t>Carga privada de evidencia</w:t>
      </w:r>
    </w:p>
    <w:p>
      <w:r>
        <w:t>El usuario autorizado selecciona PNG, JPEG o PDF de hasta 10 MiB. El portal calcula hash y prepara el registro en Transporte. El backend autoriza la asociación con el traslado, persiste la referencia y firma una carga de creación exclusiva. El encabezado firmado x-goog-if-generation-match: 0 evita sobrescribir un objeto existente.</w:t>
      </w:r>
    </w:p>
    <w:p>
      <w:r>
        <w:t>Después de cargar, el servicio consulta metadatos y descarga la generación exacta para comprobar tamaño, SHA-256, tipo y estructura. Se limitan dimensiones de imágenes y páginas de PDF; se rechazan PDFs cifrados y mecanismos activos detectados. Esta validación estructural no sustituye un antivirus ni una política clínica de retención.</w:t>
      </w:r>
    </w:p>
    <w:p>
      <w:r>
        <w:t>Los estados distinguen registro preparado, verificado, rechazado, ausente y error. Una descarga requiere autorización por recurso y estado verificado; se entrega una URL firmada temporal ligada a la generación. El bucket bloquea acceso público y no almacena datos reales de pacientes en estas pruebas.</w:t>
      </w:r>
    </w:p>
    <w:p>
      <w:pPr>
        <w:pStyle w:val="Heading2"/>
      </w:pPr>
      <w:r>
        <w:t>6. Persistencia y modelo físico</w:t>
      </w:r>
    </w:p>
    <w:p>
      <w:r>
        <w:drawing>
          <wp:inline xmlns:a="http://schemas.openxmlformats.org/drawingml/2006/main" xmlns:pic="http://schemas.openxmlformats.org/drawingml/2006/picture">
            <wp:extent cx="3246120" cy="7315200"/>
            <wp:docPr id="5" name="Picture 5"/>
            <wp:cNvGraphicFramePr>
              <a:graphicFrameLocks noChangeAspect="1"/>
            </wp:cNvGraphicFramePr>
            <a:graphic>
              <a:graphicData uri="http://schemas.openxmlformats.org/drawingml/2006/picture">
                <pic:pic>
                  <pic:nvPicPr>
                    <pic:cNvPr id="0" name="datos.png"/>
                    <pic:cNvPicPr/>
                  </pic:nvPicPr>
                  <pic:blipFill>
                    <a:blip r:embed="rId14"/>
                    <a:stretch>
                      <a:fillRect/>
                    </a:stretch>
                  </pic:blipFill>
                  <pic:spPr>
                    <a:xfrm>
                      <a:off x="0" y="0"/>
                      <a:ext cx="3246120" cy="7315200"/>
                    </a:xfrm>
                    <a:prstGeom prst="rect"/>
                  </pic:spPr>
                </pic:pic>
              </a:graphicData>
            </a:graphic>
          </wp:inline>
        </w:drawing>
      </w:r>
    </w:p>
    <w:p>
      <w:pPr>
        <w:pStyle w:val="Caption"/>
      </w:pPr>
      <w:r>
        <w:t>Relaciones operativas</w:t>
      </w:r>
    </w:p>
    <w:p>
      <w:pPr>
        <w:pStyle w:val="Heading3"/>
      </w:pPr>
      <w:r>
        <w:t>PostgreSQL</w:t>
      </w:r>
    </w:p>
    <w:p>
      <w:r>
        <w:t>La base red_house conserva 71 tablas físicas en el esquema del dominio y una tabla técnica del portal en web_runtime, 72 en total. Deriva del esquema fijado de main y las ampliaciones descritas en Esquema compartido. Las vistas access_&lt;servicio&gt; adaptan los nombres del contrato sin duplicar registros. Cada credencial de ejecución dispone de permisos únicamente sobre su ámbito. El propietario estructural no inicia sesión. Los usuarios de aplicación no reciben acceso administrativo a las tablas físicas.</w:t>
      </w:r>
    </w:p>
    <w:p>
      <w:r>
        <w:t>El catálogo físico completo se genera desde pg_catalog e information_schema: columnas, tipos, obligatoriedad, valores predeterminados, claves, restricciones e índices. Incluye tablas conservadas como antecedente que las API no escriben; su existencia no se confunde con una función terminada. El archivo JSON de metadatos permite contrastar el catálogo con la base instalada.</w:t>
      </w:r>
    </w:p>
    <w:p>
      <w:r>
        <w:t>Las tablas service_* incluyen propietario en su clave. Las vistas de outbox, inbox, decisiones, idempotencia, actividad y latido filtran ese propietario. Las funciones privilegiadas usan objetos calificados y search_path restringido. Los historiales mantienen prohibición de actualización/eliminación para las credenciales de ejecución.</w:t>
      </w:r>
    </w:p>
    <w:p>
      <w:r>
        <w:t>El SQL de instalación se aplica explícitamente a una base vacía. Arrancar una API no destruye ni reconstruye tablas. Las migraciones de entornos anteriores, sus respaldos y la comparación histórica de filas permanecen documentados; el entorno habitual no se usa para fallos destructivos de esta entrega.</w:t>
      </w:r>
    </w:p>
    <w:p>
      <w:pPr>
        <w:pStyle w:val="Heading3"/>
      </w:pPr>
      <w:r>
        <w:t>MongoDB</w:t>
      </w:r>
    </w:p>
    <w:p>
      <w:r>
        <w:t>Transporte, Custodia, Auditoría y Monitoreo tienen bases documentales y credenciales propias. Los eventos se insertan por identificador estable. La entrega mediante outbox admite reintentos; una repetición con contenido distinto se rechaza. Los eventos de auditoría y custodia permanecen inmutables.</w:t>
      </w:r>
    </w:p>
    <w:p>
      <w:r>
        <w:t>rh_transporte.shipment_tracking es una proyección mutable propiedad de Transporte. Su _id es el identificador del traslado PostgreSQL. Conserva schema_version, versión de secuencia, región, instituciones, transportista, reserva, último estado observado e identificador/fecha del evento. El evento de mayor secuencia reemplaza la proyección; uno anterior no la degrada. Una colisión de igual versión con distinto evento es conflicto. El campo last_state describe el último evento y no pretende sustituir la autoridad transaccional.</w:t>
      </w:r>
    </w:p>
    <w:p>
      <w:r>
        <w:t>La migración documental crea índices regional_state y shipment_sequence. Las credenciales pueden actualizar la proyección, pero no los eventos. La reconstrucción recorre los eventos existentes sin editarlos. Las pruebas verifican inserción, consulta, actualización, filtro, pipeline, repetición, desorden, reconstrucción, permisos y un plan explain que utiliza el índice regional.</w:t>
      </w:r>
    </w:p>
    <w:p>
      <w:r>
        <w:t>Monitoreo conserva sondeos con fuente, fecha, estado, tiempo, versión, dependencia y error. Sus pipelines calculan estado e historial. Primero intenta conservar cada sondeo en MongoDB y después en SQL; el endpoint puede consultar MongoDB si PostgreSQL falla, siempre que Redis permita autorizar al usuario. No promete conservación íntegra si ambos almacenes están caídos.</w:t>
      </w:r>
    </w:p>
    <w:p>
      <w:pPr>
        <w:pStyle w:val="Heading3"/>
      </w:pPr>
      <w:r>
        <w:t>Redis</w:t>
      </w:r>
    </w:p>
    <w:p>
      <w:r>
        <w:t>Redis mantiene sesiones activas, renovaciones, revocaciones, permisos versionados, contadores de consumo y datos temporales. Las ACL y prefijos delimitan acceso por servicio. JWT contiene identidad y ámbito, pero cada petición protegida comprueba el estado de sesión y autorización en Redis.</w:t>
      </w:r>
    </w:p>
    <w:p>
      <w:r>
        <w:t>Los tokens de acceso duran 900 segundos; renovación, 86400 segundos en la configuración base. La renovación rota su secreto; reutilizar una renovación revoca la familia. Logout elimina credenciales del navegador y revoca la sesión. La web conserva tokens cifrados en Redis con TTL máximo de 86400 segundos y una ACL propia; la cookie contiene un identificador opaco. Las concesiones de renovación duran 60 segundos y se liberan solo por su propietario. PostgreSQL conserva cierres y revocaciones pendientes en web_runtime.session_revocations: una tabla técnica adicional a las 71 del dominio, 72 entre ambos esquemas. El cierre se registra antes de eliminar credenciales Redis; ante una caída de Redis, el worker completa la revocación después de recuperarse. Las marcas de cierre se conservan hasta 24 horas e impiden reutilizar una cookie antigua. Si PostgreSQL falla, la web deniega acceso protegido y logout elimina la cookie pero informa 503 al no poder confirmar el cierre global.</w:t>
      </w:r>
    </w:p>
    <w:p>
      <w:r>
        <w:t>La caché de consultas autorizadas tiene TTL breve, incluye ámbito y revisión de datos. No se utiliza para decidir una reserva. Los bloqueos SQL y las restricciones únicas protegen el compromiso final. Rate limiting es compartido entre réplicas mediante Redis; detener una réplica no reinicia los contadores.</w:t>
      </w:r>
    </w:p>
    <w:p>
      <w:r>
        <w:t>En la tabla siguiente, P representa el prefijo configurado mediante REDIS_PREFIX; los identificadores son variables del contrato, no credenciales publicadas.</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r>
              <w:rPr>
                <w:sz w:val="16"/>
              </w:rPr>
              <w:t>Clave después de P</w:t>
            </w:r>
          </w:p>
        </w:tc>
        <w:tc>
          <w:tcPr>
            <w:tcW w:type="dxa" w:w="3360"/>
          </w:tcPr>
          <w:p>
            <w:r>
              <w:rPr>
                <w:sz w:val="16"/>
              </w:rPr>
              <w:t>Contenido y finalidad</w:t>
            </w:r>
          </w:p>
        </w:tc>
        <w:tc>
          <w:tcPr>
            <w:tcW w:type="dxa" w:w="3360"/>
          </w:tcPr>
          <w:p>
            <w:r>
              <w:rPr>
                <w:sz w:val="16"/>
              </w:rPr>
              <w:t>Expiración vigente</w:t>
            </w:r>
          </w:p>
        </w:tc>
      </w:tr>
      <w:tr>
        <w:tc>
          <w:tcPr>
            <w:tcW w:type="dxa" w:w="3360"/>
          </w:tcPr>
          <w:p>
            <w:r>
              <w:rPr>
                <w:sz w:val="16"/>
              </w:rPr>
              <w:t>session:&lt;sid&gt;</w:t>
            </w:r>
          </w:p>
        </w:tc>
        <w:tc>
          <w:tcPr>
            <w:tcW w:type="dxa" w:w="3360"/>
          </w:tcPr>
          <w:p>
            <w:r>
              <w:rPr>
                <w:sz w:val="16"/>
              </w:rPr>
              <w:t>Usuario y vencimiento de la familia activa</w:t>
            </w:r>
          </w:p>
        </w:tc>
        <w:tc>
          <w:tcPr>
            <w:tcW w:type="dxa" w:w="3360"/>
          </w:tcPr>
          <w:p>
            <w:r>
              <w:rPr>
                <w:sz w:val="16"/>
              </w:rPr>
              <w:t>86400 s desde login; se elimina al revocar</w:t>
            </w:r>
          </w:p>
        </w:tc>
      </w:tr>
      <w:tr>
        <w:tc>
          <w:tcPr>
            <w:tcW w:type="dxa" w:w="3360"/>
          </w:tcPr>
          <w:p>
            <w:r>
              <w:rPr>
                <w:sz w:val="16"/>
              </w:rPr>
              <w:t>refresh:&lt;sha256&gt;</w:t>
            </w:r>
          </w:p>
        </w:tc>
        <w:tc>
          <w:tcPr>
            <w:tcW w:type="dxa" w:w="3360"/>
          </w:tcPr>
          <w:p>
            <w:r>
              <w:rPr>
                <w:sz w:val="16"/>
              </w:rPr>
              <w:t>Identificador de sesión asociado al secreto de renovación</w:t>
            </w:r>
          </w:p>
        </w:tc>
        <w:tc>
          <w:tcPr>
            <w:tcW w:type="dxa" w:w="3360"/>
          </w:tcPr>
          <w:p>
            <w:r>
              <w:rPr>
                <w:sz w:val="16"/>
              </w:rPr>
              <w:t>Tiempo restante de la familia; rota sin extender su duración</w:t>
            </w:r>
          </w:p>
        </w:tc>
      </w:tr>
      <w:tr>
        <w:tc>
          <w:tcPr>
            <w:tcW w:type="dxa" w:w="3360"/>
          </w:tcPr>
          <w:p>
            <w:r>
              <w:rPr>
                <w:sz w:val="16"/>
              </w:rPr>
              <w:t>used_refresh:&lt;sha256&gt;</w:t>
            </w:r>
          </w:p>
        </w:tc>
        <w:tc>
          <w:tcPr>
            <w:tcW w:type="dxa" w:w="3360"/>
          </w:tcPr>
          <w:p>
            <w:r>
              <w:rPr>
                <w:sz w:val="16"/>
              </w:rPr>
              <w:t>Detecta reutilización y permite revocar la familia</w:t>
            </w:r>
          </w:p>
        </w:tc>
        <w:tc>
          <w:tcPr>
            <w:tcW w:type="dxa" w:w="3360"/>
          </w:tcPr>
          <w:p>
            <w:r>
              <w:rPr>
                <w:sz w:val="16"/>
              </w:rPr>
              <w:t>Tiempo restante al rotar; la revocación explícita conserva marcador 86400 s</w:t>
            </w:r>
          </w:p>
        </w:tc>
      </w:tr>
      <w:tr>
        <w:tc>
          <w:tcPr>
            <w:tcW w:type="dxa" w:w="3360"/>
          </w:tcPr>
          <w:p>
            <w:r>
              <w:rPr>
                <w:sz w:val="16"/>
              </w:rPr>
              <w:t>permissions:&lt;user&gt;</w:t>
            </w:r>
          </w:p>
        </w:tc>
        <w:tc>
          <w:tcPr>
            <w:tcW w:type="dxa" w:w="3360"/>
          </w:tcPr>
          <w:p>
            <w:r>
              <w:rPr>
                <w:sz w:val="16"/>
              </w:rPr>
              <w:t>Perfil, ámbito, estado y versión autorizados</w:t>
            </w:r>
          </w:p>
        </w:tc>
        <w:tc>
          <w:tcPr>
            <w:tcW w:type="dxa" w:w="3360"/>
          </w:tcPr>
          <w:p>
            <w:r>
              <w:rPr>
                <w:sz w:val="16"/>
              </w:rPr>
              <w:t>86400 s; se vuelve a publicar al autenticar/renovar</w:t>
            </w:r>
          </w:p>
        </w:tc>
      </w:tr>
      <w:tr>
        <w:tc>
          <w:tcPr>
            <w:tcW w:type="dxa" w:w="3360"/>
          </w:tcPr>
          <w:p>
            <w:r>
              <w:rPr>
                <w:sz w:val="16"/>
              </w:rPr>
              <w:t>permission_version:&lt;user&gt;</w:t>
            </w:r>
          </w:p>
        </w:tc>
        <w:tc>
          <w:tcPr>
            <w:tcW w:type="dxa" w:w="3360"/>
          </w:tcPr>
          <w:p>
            <w:r>
              <w:rPr>
                <w:sz w:val="16"/>
              </w:rPr>
              <w:t>Revisión vigente que invalida permisos anteriores</w:t>
            </w:r>
          </w:p>
        </w:tc>
        <w:tc>
          <w:tcPr>
            <w:tcW w:type="dxa" w:w="3360"/>
          </w:tcPr>
          <w:p>
            <w:r>
              <w:rPr>
                <w:sz w:val="16"/>
              </w:rPr>
              <w:t>Sin TTL; cambia al modificar la cuenta</w:t>
            </w:r>
          </w:p>
        </w:tc>
      </w:tr>
      <w:tr>
        <w:tc>
          <w:tcPr>
            <w:tcW w:type="dxa" w:w="3360"/>
          </w:tcPr>
          <w:p>
            <w:r>
              <w:rPr>
                <w:sz w:val="16"/>
              </w:rPr>
              <w:t>web:session:&lt;sha256-cookie&gt;</w:t>
            </w:r>
          </w:p>
        </w:tc>
        <w:tc>
          <w:tcPr>
            <w:tcW w:type="dxa" w:w="3360"/>
          </w:tcPr>
          <w:p>
            <w:r>
              <w:rPr>
                <w:sz w:val="16"/>
              </w:rPr>
              <w:t>Credenciales cifradas del portal; ACL exclusiva</w:t>
            </w:r>
          </w:p>
        </w:tc>
        <w:tc>
          <w:tcPr>
            <w:tcW w:type="dxa" w:w="3360"/>
          </w:tcPr>
          <w:p>
            <w:r>
              <w:rPr>
                <w:sz w:val="16"/>
              </w:rPr>
              <w:t>Hasta 86400 s</w:t>
            </w:r>
          </w:p>
        </w:tc>
      </w:tr>
      <w:tr>
        <w:tc>
          <w:tcPr>
            <w:tcW w:type="dxa" w:w="3360"/>
          </w:tcPr>
          <w:p>
            <w:r>
              <w:rPr>
                <w:sz w:val="16"/>
              </w:rPr>
              <w:t>web:renewal:&lt;sha256-cookie&gt;</w:t>
            </w:r>
          </w:p>
        </w:tc>
        <w:tc>
          <w:tcPr>
            <w:tcW w:type="dxa" w:w="3360"/>
          </w:tcPr>
          <w:p>
            <w:r>
              <w:rPr>
                <w:sz w:val="16"/>
              </w:rPr>
              <w:t>Concesión de renovación concurrente, dueño verificado</w:t>
            </w:r>
          </w:p>
        </w:tc>
        <w:tc>
          <w:tcPr>
            <w:tcW w:type="dxa" w:w="3360"/>
          </w:tcPr>
          <w:p>
            <w:r>
              <w:rPr>
                <w:sz w:val="16"/>
              </w:rPr>
              <w:t>60 s</w:t>
            </w:r>
          </w:p>
        </w:tc>
      </w:tr>
      <w:tr>
        <w:tc>
          <w:tcPr>
            <w:tcW w:type="dxa" w:w="3360"/>
          </w:tcPr>
          <w:p>
            <w:r>
              <w:rPr>
                <w:sz w:val="16"/>
              </w:rPr>
              <w:t>revoked:&lt;jti&gt;</w:t>
            </w:r>
          </w:p>
        </w:tc>
        <w:tc>
          <w:tcPr>
            <w:tcW w:type="dxa" w:w="3360"/>
          </w:tcPr>
          <w:p>
            <w:r>
              <w:rPr>
                <w:sz w:val="16"/>
              </w:rPr>
              <w:t>Revocación del JWT presentado al cerrar sesión</w:t>
            </w:r>
          </w:p>
        </w:tc>
        <w:tc>
          <w:tcPr>
            <w:tcW w:type="dxa" w:w="3360"/>
          </w:tcPr>
          <w:p>
            <w:r>
              <w:rPr>
                <w:sz w:val="16"/>
              </w:rPr>
              <w:t>Segundos restantes del token, mínimo 1 s</w:t>
            </w:r>
          </w:p>
        </w:tc>
      </w:tr>
      <w:tr>
        <w:tc>
          <w:tcPr>
            <w:tcW w:type="dxa" w:w="3360"/>
          </w:tcPr>
          <w:p>
            <w:r>
              <w:rPr>
                <w:sz w:val="16"/>
              </w:rPr>
              <w:t>login_fail:&lt;sha256&gt;</w:t>
            </w:r>
          </w:p>
        </w:tc>
        <w:tc>
          <w:tcPr>
            <w:tcW w:type="dxa" w:w="3360"/>
          </w:tcPr>
          <w:p>
            <w:r>
              <w:rPr>
                <w:sz w:val="16"/>
              </w:rPr>
              <w:t>Contador de accesos fallidos; bloquea desde cinco intentos</w:t>
            </w:r>
          </w:p>
        </w:tc>
        <w:tc>
          <w:tcPr>
            <w:tcW w:type="dxa" w:w="3360"/>
          </w:tcPr>
          <w:p>
            <w:r>
              <w:rPr>
                <w:sz w:val="16"/>
              </w:rPr>
              <w:t>300 s desde el último intento contabilizado</w:t>
            </w:r>
          </w:p>
        </w:tc>
      </w:tr>
      <w:tr>
        <w:tc>
          <w:tcPr>
            <w:tcW w:type="dxa" w:w="3360"/>
          </w:tcPr>
          <w:p>
            <w:r>
              <w:rPr>
                <w:sz w:val="16"/>
              </w:rPr>
              <w:t>limit:&lt;service&gt;:&lt;category&gt;:&lt;scope&gt;:&lt;minute&gt;</w:t>
            </w:r>
          </w:p>
        </w:tc>
        <w:tc>
          <w:tcPr>
            <w:tcW w:type="dxa" w:w="3360"/>
          </w:tcPr>
          <w:p>
            <w:r>
              <w:rPr>
                <w:sz w:val="16"/>
              </w:rPr>
              <w:t>Contador atómico compartido de consumo</w:t>
            </w:r>
          </w:p>
        </w:tc>
        <w:tc>
          <w:tcPr>
            <w:tcW w:type="dxa" w:w="3360"/>
          </w:tcPr>
          <w:p>
            <w:r>
              <w:rPr>
                <w:sz w:val="16"/>
              </w:rPr>
              <w:t>61 s</w:t>
            </w:r>
          </w:p>
        </w:tc>
      </w:tr>
      <w:tr>
        <w:tc>
          <w:tcPr>
            <w:tcW w:type="dxa" w:w="3360"/>
          </w:tcPr>
          <w:p>
            <w:r>
              <w:rPr>
                <w:sz w:val="16"/>
              </w:rPr>
              <w:t>nonce:&lt;receiver&gt;:&lt;caller&gt;:&lt;nonce&gt;</w:t>
            </w:r>
          </w:p>
        </w:tc>
        <w:tc>
          <w:tcPr>
            <w:tcW w:type="dxa" w:w="3360"/>
          </w:tcPr>
          <w:p>
            <w:r>
              <w:rPr>
                <w:sz w:val="16"/>
              </w:rPr>
              <w:t>Rechaza repetición de una firma interna</w:t>
            </w:r>
          </w:p>
        </w:tc>
        <w:tc>
          <w:tcPr>
            <w:tcW w:type="dxa" w:w="3360"/>
          </w:tcPr>
          <w:p>
            <w:r>
              <w:rPr>
                <w:sz w:val="16"/>
              </w:rPr>
              <w:t>65 s; firma admite desfase máximo de 30 s</w:t>
            </w:r>
          </w:p>
        </w:tc>
      </w:tr>
      <w:tr>
        <w:tc>
          <w:tcPr>
            <w:tcW w:type="dxa" w:w="3360"/>
          </w:tcPr>
          <w:p>
            <w:r>
              <w:rPr>
                <w:sz w:val="16"/>
              </w:rPr>
              <w:t>cache:&lt;service&gt;:read:&lt;sha256&gt;</w:t>
            </w:r>
          </w:p>
        </w:tc>
        <w:tc>
          <w:tcPr>
            <w:tcW w:type="dxa" w:w="3360"/>
          </w:tcPr>
          <w:p>
            <w:r>
              <w:rPr>
                <w:sz w:val="16"/>
              </w:rPr>
              <w:t>Respuesta ligada a usuario, ámbito, filtros y revisión SQL</w:t>
            </w:r>
          </w:p>
        </w:tc>
        <w:tc>
          <w:tcPr>
            <w:tcW w:type="dxa" w:w="3360"/>
          </w:tcPr>
          <w:p>
            <w:r>
              <w:rPr>
                <w:sz w:val="16"/>
              </w:rPr>
              <w:t>Inventario 10/15 s; catálogos 30 s</w:t>
            </w:r>
          </w:p>
        </w:tc>
      </w:tr>
    </w:tbl>
    <w:p/>
    <w:p>
      <w:r>
        <w:t>Las evidencias de login, renovación y revocación conservan comprobaciones SQL y de existencia/TTL Redis. Las pruebas adicionales verifican caché, límites, nonce repetido y denegación durante caída de Redis.</w:t>
      </w:r>
    </w:p>
    <w:p>
      <w:pPr>
        <w:pStyle w:val="Heading3"/>
      </w:pPr>
      <w:r>
        <w:t>Google Cloud Storage</w:t>
      </w:r>
    </w:p>
    <w:p>
      <w:r>
        <w:t>El proyecto autorizado es sistemas-integracion-01. El bucket red-house-evidencias-sistemas-integracion-01 usa Standard, us-central1, acceso uniforme y prevención de acceso público. La cuenta red-house-archivos recibió permisos de objetos limitados a ese bucket; la firma del usuario se limita a esa cuenta. Se utilizan credenciales impersonadas, sin descargar claves privadas de servicio.</w:t>
      </w:r>
    </w:p>
    <w:p>
      <w:r>
        <w:t>PostgreSQL conserva identificador, traslado, propietario, ruta, MIME, tamaño, hash, generación y estado. Los archivos no se insertan en las bases. La prueba elimina únicamente sus objetos ficticios identificados; no vacía el bucket. Retención clínica, borrado de expedientes reales, antimalware y operación productiva requieren decisiones posteriores.</w:t>
      </w:r>
    </w:p>
    <w:p>
      <w:pPr>
        <w:pStyle w:val="Heading2"/>
      </w:pPr>
      <w:r>
        <w:t>7. Servicios, contratos y comunicación</w:t>
      </w:r>
    </w:p>
    <w:p>
      <w:r>
        <w:t>Las fichas individuales detallan propósito, dependencias, persistencia, endpoints, puertos, permisos, pruebas y artefactos de cada propietario. El expediente HTTP es navegable y distingue peticiones reales HTTP de invocaciones WSGI del monolito.</w:t>
      </w:r>
    </w:p>
    <w:p>
      <w:r>
        <w:t>Todos los servicios usan Python/Flask, contratos /api/v1 y endpoints internos /internal/v1. Las respuestas externas ofrecen JSON o XML mediante Accept; el formato de entrada se determina con Content-Type. Los esquemas XSD validan estructura, cardinalidad y tipos, con entidades externas y DTD deshabilitados. El XML de respuesta utiliza el contrato tipado versionado; no se concatena XML con entradas sin escape.</w:t>
      </w:r>
    </w:p>
    <w:p>
      <w:r>
        <w:t>El sobre satisfactorio contiene data y meta; el error contiene error.code, error.message, detalles permitidos y correlación. Las entradas se validan con modelos explícitos. Paginación y filtros rechazan campos o valores fuera de contrato. Los DTO de salida minimizan datos y excluyen credenciales. Los códigos distinguen validación, ausencia, autenticación, autorización, conflicto, límite y dependencia inaccesible.</w:t>
      </w:r>
    </w:p>
    <w:p>
      <w:r>
        <w:t>Las llamadas internas exigen firma Ed25519 del servicio, marca temporal y nonce. Las llamadas con delegación conservan JWT del usuario. La autorización interna limita qué propietario puede invocar cada operación. Ni una ruta interna ni una dirección de red sustituyen esa autenticación.</w:t>
      </w:r>
    </w:p>
    <w:p>
      <w:r>
        <w:t>Swagger se sirve en /docs/, con OpenAPI y ejemplos de entrada/salida, incluidos errores. Los ejemplos generados ayudan a construir solicitudes; únicamente el expediente de ejecución demuestra que se realizaron. Las capturas muestran resultados ejecutados y redactados, con acceso al JSON completo y persistencia asociada.</w:t>
      </w:r>
    </w:p>
    <w:p>
      <w:pPr>
        <w:pStyle w:val="Heading2"/>
      </w:pPr>
      <w:r>
        <w:t>8. Seguridad y consistencia</w:t>
      </w:r>
    </w:p>
    <w:p>
      <w:r>
        <w:t>Las contraseñas usan scrypt; no se conservan en texto plano. JWT acepta RS256, emisor y audiencia definidos, expiración y claims requeridos. Redis permite invalidar una sesión aunque el JWT todavía esté firmado y vigente. La autorización combina perfil, región, institución y relación con el recurso.</w:t>
      </w:r>
    </w:p>
    <w:p>
      <w:r>
        <w:t>Los formularios web aplican CSRF, cookies de sesión y validación en servidor. Los archivos se validan antes de publicarse como verificados. SQL usa parámetros/ORM del controlador; las firmas internas y XML tienen defensas específicas contra repetición y XXE. Los errores no revelan DSN, SQL, claves o trazas al usuario.</w:t>
      </w:r>
    </w:p>
    <w:p>
      <w:r>
        <w:t>Cada cambio conserva motivo, actor, correlación y evento local cuando corresponde. El evento se escribe junto con la transacción de negocio. Outbox desacopla su entrega a auditoría, alertas y proyecciones. Inbox deduplica por identificador y huella del contenido. Una caída posterior al commit no elimina el hecho persistido.</w:t>
      </w:r>
    </w:p>
    <w:p>
      <w:r>
        <w:t>La evidencia HTTP es optativa y solo se habilita sobre datos ficticios. Redacta contraseñas, tokens, cookies, firmas y URLs privadas. Nunca se habilita por defecto en una instalación operativa. Los archivos .local, ADC y secretos quedan fuera de Git y del contexto Docker.</w:t>
      </w:r>
    </w:p>
    <w:p>
      <w:r>
        <w:t>El Compose publica puertos solo en loopback para demostración local. No representa un despliegue público cifrado ni la certificación normativa de una plataforma clínica. Un despliegue externo requiere TLS, políticas de acceso/red, gestión de secretos y revisión regulatoria.</w:t>
      </w:r>
    </w:p>
    <w:p>
      <w:pPr>
        <w:pStyle w:val="Heading2"/>
      </w:pPr>
      <w:r>
        <w:t>9. Algoritmos</w:t>
      </w:r>
    </w:p>
    <w:p>
      <w:r>
        <w:t>La evaluación conserva reglas, versiones y exclusiones. El ranking operativo explica sus factores y no presenta ponderaciones médicas inventadas. La propuesta de balance utiliza matching bipartito Hopcroft–Karp: solicitudes/cupos en un lado, recursos candidatos en el otro; BFS identifica capas y DFS recorre caminos aumentantes. Su complejidad teórica es O(E√V) para el grafo representado.</w:t>
      </w:r>
    </w:p>
    <w:p>
      <w:r>
        <w:t>El matching puede encontrar una cobertura mayor que una elección voraz cuando una solicitud admite varios recursos y otra solo uno. La salida es una propuesta; no modifica inventario ni reemplaza autorizaciones. Las pruebas comparan casos restrictivos, propuestas y ausencia de reservas automáticas. Problema, pseudocódigo, casos y límites adicionales están en Algoritmos.</w:t>
      </w:r>
    </w:p>
    <w:p>
      <w:r>
        <w:t>Las mediciones anteriores de volumen y Locust se conservan como antecedentes identificados por fecha. No se atribuyen al código 0.3.0 sin repetición. La prueba de continuidad con carga moderada no equivale a carga sostenida, estrés o capacidad productiva certificada.</w:t>
      </w:r>
    </w:p>
    <w:p>
      <w:pPr>
        <w:pStyle w:val="Heading2"/>
      </w:pPr>
      <w:r>
        <w:t>10. Instalación, operación y recuperación</w:t>
      </w:r>
    </w:p>
    <w:p>
      <w:r>
        <w:t>El procedimiento ejecutable está en deployment/README.md. Requiere Docker Compose v2 y Python para preparar secretos. El instalador genera contraseñas, claves de firma y configuraciones privadas; crea la base compartida, ACL, usuarios documentales y 14 cuentas ficticias. Una repetición verifica versión y aplica únicamente la migración documental aditiva.</w:t>
      </w:r>
    </w:p>
    <w:p>
      <w:r>
        <w:t>El ensayo desde una instantánea Git local clonada aprobó ocho etapas: preparación, construcción del instalador, arranque de almacenes, bootstrap, construcción de aplicaciones, arranque de 27 contenedores saludables, flujo de sangre con consultas JSON/XML de los once propietarios y repetición del bootstrap. Empleó secretos y volúmenes nuevos. El primer intento tuvo un fallo DNS del registro de imágenes; se conserva junto a la repetición aprobada. La evidencia del clon identifica la instantánea y los resultados.</w:t>
      </w:r>
    </w:p>
    <w:p>
      <w:r>
        <w:t>El portal local Docker está en http://127.0.0.1:6050; gateway API en 6101–6111. PostgreSQL, Redis y MongoDB no publican puertos. La red data es interna. El acceso externo se limita a componentes que requieren GCS y al gateway/portal. Las aplicaciones se ejecutan sin privilegios, con sistema de archivos de solo lectura y áreas temporales explícitas.</w:t>
      </w:r>
    </w:p>
    <w:p>
      <w:r>
        <w:t>Liveness comprueba el proceso. Readiness verifica dependencias aplicables y versión de esquema. El health check de cada contenedor verifica además el latido de su propio worker para que el latido de otra réplica no oculte su fallo. Los logs incluyen servicio, ruta, estado, tiempo y correlación, sin cuerpo ni credenciales.</w:t>
      </w:r>
    </w:p>
    <w:p>
      <w:r>
        <w:t>El arranque se realiza por pares de réplicas, empezando por los consumidores de eventos, para permitir el drenaje de colas conservadas. El sondeo Docker usa un proceso Python mínimo, sin cargar paquetes de la aplicación. Las conexiones PostgreSQL se reutilizan en pools acotados por aplicación, credencial y esquema; un fallo no provoca la repetición automática de una escritura.</w:t>
      </w:r>
    </w:p>
    <w:p>
      <w:r>
        <w:t>Una actualización compatible reemplaza primero A, espera salud y ejecuta una operación, después B. No se aplican cambios destructivos de esquema en el arranque. Cambiar contratos o persistencia requiere una migración planificada con compatibilidad temporal y respaldo. Recrear la misma versión prueba el mecanismo; no demuestra compatibilidad con una migración futura desconocida.</w:t>
      </w:r>
    </w:p>
    <w:p>
      <w:r>
        <w:t>El ensayo final reemplazó ambas imágenes de Inventario por un ID distinto. Las 100 consultas continuas respondieron 200 y se verificó un alta SQL después de cada sustitución. La versión contractual permaneció en 0.3.0; esa prueba acredita la actualización compatible de este incremento.</w:t>
      </w:r>
    </w:p>
    <w:p>
      <w:r>
        <w:t>El respaldo debe conservar PostgreSQL, documentos MongoDB, persistencia/ACL Redis, configuración privada, claves y sesiones web, además de los objetos GCS según su política. Restaurar solo tablas sin las claves o las colas puede dejar referencias y sesiones incoherentes. El procedimiento de respaldo y restauración aislada se detalla en la guía; los archivos con datos y secretos no forman parte del expediente público.</w:t>
      </w:r>
    </w:p>
    <w:p>
      <w:r>
        <w:t>La restauración comprobada conserva 15 122 filas de 71 tablas, 7 632 documentos, cinco usuarios y cuatro roles MongoDB mediante conteos y hashes idénticos. Redis recuperó la clave de prueba con TTL de 3575 s. Se restauró en motores nuevos sin puertos publicados. Las generaciones GCS no se copian en ese respaldo local y deben conservarse en el bucket.</w:t>
      </w:r>
    </w:p>
    <w:p>
      <w:pPr>
        <w:pStyle w:val="Heading2"/>
      </w:pPr>
      <w:r>
        <w:t>11. Pruebas, evidencia y criterios de aceptación</w:t>
      </w:r>
    </w:p>
    <w:p>
      <w:r>
        <w:t>La suite usa PostgreSQL, MongoDB y Redis temporales, separados del entorno habitual. Los tests de contratos ejercitan JSON/XML/XSD, autenticación, autorización, expiración, renovación, revocación, errores, concurrencia, idempotencia, recuperación y permisos de almacenamiento. Los tests de continuidad detienen listeners HTTP y ejecutan sangre, órganos y procesamiento mediante el backend web autónomo.</w:t>
      </w:r>
    </w:p>
    <w:p>
      <w:r>
        <w:t>Las pruebas Docker ejecutan operaciones de negocio a través del gateway; detienen las instancias A de los once propietarios, comprueban lectura JSON/XML y flujo de órganos, detienen todas las API para ejecutar flujos web, recrean réplicas secuencialmente y reinician las bases para comparar registros. Una página pública o un health check por sí solos no satisfacen esos criterios.</w:t>
      </w:r>
    </w:p>
    <w:p>
      <w:r>
        <w:t>La prueba GCS usa el bucket autorizado, carga y descarga un PNG ficticio, comprueba metadatos SQL, rechazo de acceso público, autorización por traslado, objeto ausente, MIME/contenido inválido, prohibición de sobreescritura, firma expirada y degradación/recuperación. No utiliza URLs fabricadas.</w:t>
      </w:r>
    </w:p>
    <w:p>
      <w:r>
        <w:t>Los resultados finales y sus tiempos se incorporan en Resultados de validación. Ese registro conserva esperado, obtenido y diagnóstico. Los límites de espera no se aumentan para ocultar un fallo. Una repetición posterior se identifica y no borra el resultado fallido previo.</w:t>
      </w:r>
    </w:p>
    <w:p>
      <w:r>
        <w:t>La regresión final aprobó 182 pruebas, sin fallos ni omisiones, en 2005.90 s. Una prueba complementaria posterior aprobó en 36.08 s los errores de negociación y las conexiones fallidas/recuperadas de salud para los once propietarios. Docker aprobó nueve comprobaciones operativas. Chrome verificó 20 páginas de siete perfiles, las series Highcharts frente a sus datos del servidor, ancho 390 sin desbordamiento, una carga privada verificada y una consulta Swagger real.</w:t>
      </w:r>
    </w:p>
    <w:p>
      <w:r>
        <w:t>El inventario final contiene 284 métodos/rutas con éxito HTTP y captura. Hay errores ejecutados para 240; las 44 rutas restantes sirven documentación fija y tienen una justificación explícita de no aplicabilidad de error de dominio. Todas las escrituras capturadas incluyen comprobación de persistencia. Estos números se obtienen del manifiesto de cobertura y no se fijan como contrato de futuras versiones.</w:t>
      </w:r>
    </w:p>
    <w:p>
      <w:r>
        <w:t>La captura automática inventaría los métodos y rutas reales de cada aplicación. Cada registro incluye objetivo, URL, parámetros, headers redactados, petición, respuesta, código, fecha, versión, correlación, transporte y hash de implementación. Las escrituras idempotentes se vinculan a una consulta del resultado comprometido en PostgreSQL. Las operaciones sin ese registro requieren la evidencia de flujo o de su almacén específico; el informe de cobertura señala las brechas en lugar de fabricar ejemplos.</w:t>
      </w:r>
    </w:p>
    <w:p>
      <w:pPr>
        <w:pStyle w:val="Heading2"/>
      </w:pPr>
      <w:r>
        <w:t>12. Presentación y trabajo pendiente</w:t>
      </w:r>
    </w:p>
    <w:p>
      <w:r>
        <w:t>El guion de demostración organiza responsabilidades y pasos reproducibles. No asigna nombres ni inventa participación. Incluye explicación del problema, arquitectura, flujo completo, JSON/XML, Swagger, Redis, MongoDB, archivos, Docker y fallos. El equipo completará reparto de participación, ensayo, grabación y publicación de YouTube.</w:t>
      </w:r>
    </w:p>
    <w:p>
      <w:r>
        <w:t>La entrega académica completa requiere presentación presencial de todos los integrantes y un video accesible. Preparar el guion y los artefactos no acredita esos requisitos externos. Tampoco acredita validación clínica, operación productiva, pruebas de infraestructura multizona o certificación normativa.</w:t>
      </w:r>
    </w:p>
    <w:p>
      <w:pPr>
        <w:pStyle w:val="Heading2"/>
      </w:pPr>
      <w:r>
        <w:t>13. Fuentes técnicas</w:t>
      </w:r>
    </w:p>
    <w:p>
      <w:pPr>
        <w:pStyle w:val="ListBullet"/>
      </w:pPr>
      <w:r>
        <w:t>Reintentos y upstream de Nginx: distingue reintento de conexión y operaciones no idempotentes.</w:t>
      </w:r>
    </w:p>
    <w:p>
      <w:pPr>
        <w:pStyle w:val="ListBullet"/>
      </w:pPr>
      <w:r>
        <w:t>Redes y DNS de Docker Compose: descubrimiento de servicios y recreación de contenedores.</w:t>
      </w:r>
    </w:p>
    <w:p>
      <w:pPr>
        <w:pStyle w:val="ListBullet"/>
      </w:pPr>
      <w:r>
        <w:t>Roles IAM de Cloud Storage: alcance de permisos sobre objetos.</w:t>
      </w:r>
    </w:p>
    <w:p>
      <w:pPr>
        <w:pStyle w:val="ListBullet"/>
      </w:pPr>
      <w:r>
        <w:t>Firmas de URLs de Cloud Storage: acceso temporal a objetos privados.</w:t>
      </w:r>
    </w:p>
    <w:p>
      <w:pPr>
        <w:pStyle w:val="ListBullet"/>
      </w:pPr>
      <w:r>
        <w:t>Enunciado y matriz de ejecución, reglas del proyecto y modelo compartido: fuentes internas de alcance y trazabilidad.</w:t>
      </w:r>
    </w:p>
    <w:p>
      <w:pPr>
        <w:pStyle w:val="Heading2"/>
      </w:pPr>
      <w:r>
        <w:t>Referencias y archivos de esta sección</w:t>
      </w:r>
    </w:p>
    <w:p>
      <w:pPr>
        <w:pStyle w:val="Caption"/>
      </w:pPr>
      <w:r>
        <w:t>Algoritmos: documentation/markdowns/Algoritmos.md</w:t>
      </w:r>
    </w:p>
    <w:p>
      <w:pPr>
        <w:pStyle w:val="Caption"/>
      </w:pPr>
      <w:r>
        <w:t>Enunciado y matriz de ejecución: documentation/markdowns/Cierre_segundo_parcial.md</w:t>
      </w:r>
    </w:p>
    <w:p>
      <w:pPr>
        <w:pStyle w:val="Caption"/>
      </w:pPr>
      <w:r>
        <w:t>Esquema compartido: documentation/markdowns/Esquema_compartido.md</w:t>
      </w:r>
    </w:p>
    <w:p>
      <w:pPr>
        <w:pStyle w:val="Caption"/>
      </w:pPr>
      <w:r>
        <w:t>Firmas de URLs de Cloud Storage: https://docs.cloud.google.com/storage/docs/access-control/signing-urls-with-helpers</w:t>
      </w:r>
    </w:p>
    <w:p>
      <w:pPr>
        <w:pStyle w:val="Caption"/>
      </w:pPr>
      <w:r>
        <w:t>Redes y DNS de Docker Compose: https://docs.docker.com/compose/how-tos/networking/</w:t>
      </w:r>
    </w:p>
    <w:p>
      <w:pPr>
        <w:pStyle w:val="Caption"/>
      </w:pPr>
      <w:r>
        <w:t>Reintentos y upstream de Nginx: https://nginx.org/en/docs/http/ngx_http_proxy_module.html#proxy_next_upstream</w:t>
      </w:r>
    </w:p>
    <w:p>
      <w:pPr>
        <w:pStyle w:val="Caption"/>
      </w:pPr>
      <w:r>
        <w:t>Resultados de validación: documentation/evidencias/segundo-parcial/RESULTADOS.md</w:t>
      </w:r>
    </w:p>
    <w:p>
      <w:pPr>
        <w:pStyle w:val="Caption"/>
      </w:pPr>
      <w:r>
        <w:t>Roles IAM de Cloud Storage: https://docs.cloud.google.com/storage/docs/access-control/iam-roles</w:t>
      </w:r>
    </w:p>
    <w:p>
      <w:pPr>
        <w:pStyle w:val="Caption"/>
      </w:pPr>
      <w:r>
        <w:t>catálogo físico completo: documentation/segundo-parcial/Modelo_fisico.md</w:t>
      </w:r>
    </w:p>
    <w:p>
      <w:pPr>
        <w:pStyle w:val="Caption"/>
      </w:pPr>
      <w:r>
        <w:t>deployment/README.md: deployment/README.md</w:t>
      </w:r>
    </w:p>
    <w:p>
      <w:pPr>
        <w:pStyle w:val="Caption"/>
      </w:pPr>
      <w:r>
        <w:t>evidencia del clon: documentation/evidencias/segundo-parcial/clean-clone.json</w:t>
      </w:r>
    </w:p>
    <w:p>
      <w:pPr>
        <w:pStyle w:val="Caption"/>
      </w:pPr>
      <w:r>
        <w:t>expediente HTTP: documentation/evidencias/segundo-parcial/http/index.html</w:t>
      </w:r>
    </w:p>
    <w:p>
      <w:pPr>
        <w:pStyle w:val="Caption"/>
      </w:pPr>
      <w:r>
        <w:t>fichas individuales: documentation/segundo-parcial/Fichas_microservicios.md</w:t>
      </w:r>
    </w:p>
    <w:p>
      <w:pPr>
        <w:pStyle w:val="Caption"/>
      </w:pPr>
      <w:r>
        <w:t>guion de demostración: stuff/presentacion/Guion_segundo_parcial.md</w:t>
      </w:r>
    </w:p>
    <w:p>
      <w:pPr>
        <w:pStyle w:val="Caption"/>
      </w:pPr>
      <w:r>
        <w:t>matriz de cierre: documentation/markdowns/Cierre_segundo_parcial.md</w:t>
      </w:r>
    </w:p>
    <w:p>
      <w:pPr>
        <w:pStyle w:val="Caption"/>
      </w:pPr>
      <w:r>
        <w:t>modelo compartido: documentation/markdowns/Esquema_compartido.md</w:t>
      </w:r>
    </w:p>
    <w:p>
      <w:pPr>
        <w:pStyle w:val="Caption"/>
      </w:pPr>
      <w:r>
        <w:t>reglas del proyecto: documentation/markdowns/Reglas_de_negocio.md</w:t>
      </w:r>
    </w:p>
    <w:p>
      <w:pPr>
        <w:pStyle w:val="Caption"/>
      </w:pPr>
      <w:r>
        <w:t>validación de sesiones: documentation/evidencias/sesiones-redis/RESULTADOS.md</w:t>
      </w:r>
    </w:p>
    <w:p>
      <w:pPr>
        <w:pStyle w:val="Heading1"/>
      </w:pPr>
      <w:r>
        <w:t>Fichas individuales de microservicios</w:t>
      </w:r>
    </w:p>
    <w:p>
      <w:r>
        <w:t>Edición 0.3.0. Los contratos enlazados contienen campos, tipos, obligatoriedad, ejemplos JSON/XML, XSD, errores y paginación. El expediente HTTP distingue ejemplos de ejecuciones.</w:t>
      </w:r>
    </w:p>
    <w:p>
      <w:r>
        <w:t>Cada servicio tiene API Flask/REST y worker supervisado, módulos de rutas/modelos, biblioteca común de autorización/contratos y persistencia propia mediante vistas limitadas. Puerto interno 8080; el gateway publica un puerto por propietario. Versiones exactas de dependencias en requirements-verified.txt; Docker usa Python 3.13 y las pruebas locales Python 3.12.</w:t>
      </w:r>
    </w:p>
    <w:p>
      <w:pPr>
        <w:pStyle w:val="Heading2"/>
      </w:pPr>
      <w:r>
        <w:t>Identidad y acceso</w:t>
      </w:r>
    </w:p>
    <w:p>
      <w:r>
        <w:t>Identifica a cada persona y limita qué puede hacer y en qué institución.</w:t>
      </w:r>
    </w:p>
    <w:p>
      <w:r>
        <w:t>Justificación y proceso: Un médico inicia sesión, recibe JWT y renovación; Inventario verifica su sesión y permisos antes de reservar.</w:t>
      </w:r>
    </w:p>
    <w:p>
      <w:r>
        <w:t>Integración declarada: puede invocar contratos internos de auditoria; acepta llamadas firmadas de donantes, inventario, priorizacion_geografia, transporte. Estas relaciones incluyen entrega de eventos. Monitoreo consulta además la salud pública de todos los componentes. Cada ruta conserva su lista específica de consumidores y delegación en OpenAPI.</w:t>
      </w:r>
    </w:p>
    <w:p>
      <w:r>
        <w:t>Persistencia y relaciones: Usuarios, instituciones, sesiones registradas y hashes scrypt en PostgreSQL. Redis conserva sesiones activas, permisos versionados, renovaciones y revocaciones.</w:t>
      </w:r>
    </w:p>
    <w:p>
      <w:r>
        <w:t>Ámbito SQL: access_identidad_acceso. La correspondencia siguiente procede del SQL de instalación. Las tablas técnicas service_* filtran el propietario; las claves y relaciones completas constan en el catálogo físico.</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rPr>
                <w:sz w:val="16"/>
              </w:rPr>
              <w:t>Vista autorizada</w:t>
            </w:r>
          </w:p>
        </w:tc>
        <w:tc>
          <w:tcPr>
            <w:tcW w:type="dxa" w:w="5040"/>
          </w:tcPr>
          <w:p>
            <w:r>
              <w:rPr>
                <w:sz w:val="16"/>
              </w:rPr>
              <w:t>Tabla física compartida</w:t>
            </w:r>
          </w:p>
        </w:tc>
      </w:tr>
      <w:tr>
        <w:tc>
          <w:tcPr>
            <w:tcW w:type="dxa" w:w="5040"/>
          </w:tcPr>
          <w:p>
            <w:r>
              <w:rPr>
                <w:sz w:val="16"/>
              </w:rPr>
              <w:t>activity_events</w:t>
            </w:r>
          </w:p>
        </w:tc>
        <w:tc>
          <w:tcPr>
            <w:tcW w:type="dxa" w:w="5040"/>
          </w:tcPr>
          <w:p>
            <w:r>
              <w:rPr>
                <w:sz w:val="16"/>
              </w:rPr>
              <w:t>red_house.service_activity_events</w:t>
            </w:r>
          </w:p>
        </w:tc>
      </w:tr>
      <w:tr>
        <w:tc>
          <w:tcPr>
            <w:tcW w:type="dxa" w:w="5040"/>
          </w:tcPr>
          <w:p>
            <w:r>
              <w:rPr>
                <w:sz w:val="16"/>
              </w:rPr>
              <w:t>cache_revision</w:t>
            </w:r>
          </w:p>
        </w:tc>
        <w:tc>
          <w:tcPr>
            <w:tcW w:type="dxa" w:w="5040"/>
          </w:tcPr>
          <w:p>
            <w:r>
              <w:rPr>
                <w:sz w:val="16"/>
              </w:rPr>
              <w:t>red_house.cache_revision</w:t>
            </w:r>
          </w:p>
        </w:tc>
      </w:tr>
      <w:tr>
        <w:tc>
          <w:tcPr>
            <w:tcW w:type="dxa" w:w="5040"/>
          </w:tcPr>
          <w:p>
            <w:r>
              <w:rPr>
                <w:sz w:val="16"/>
              </w:rPr>
              <w:t>catalogue</w:t>
            </w:r>
          </w:p>
        </w:tc>
        <w:tc>
          <w:tcPr>
            <w:tcW w:type="dxa" w:w="5040"/>
          </w:tcPr>
          <w:p>
            <w:r>
              <w:rPr>
                <w:sz w:val="16"/>
              </w:rPr>
              <w:t>red_house.catalogue_entry</w:t>
            </w:r>
          </w:p>
        </w:tc>
      </w:tr>
      <w:tr>
        <w:tc>
          <w:tcPr>
            <w:tcW w:type="dxa" w:w="5040"/>
          </w:tcPr>
          <w:p>
            <w:r>
              <w:rPr>
                <w:sz w:val="16"/>
              </w:rPr>
              <w:t>decisions</w:t>
            </w:r>
          </w:p>
        </w:tc>
        <w:tc>
          <w:tcPr>
            <w:tcW w:type="dxa" w:w="5040"/>
          </w:tcPr>
          <w:p>
            <w:r>
              <w:rPr>
                <w:sz w:val="16"/>
              </w:rPr>
              <w:t>red_house.service_decisions</w:t>
            </w:r>
          </w:p>
        </w:tc>
      </w:tr>
      <w:tr>
        <w:tc>
          <w:tcPr>
            <w:tcW w:type="dxa" w:w="5040"/>
          </w:tcPr>
          <w:p>
            <w:r>
              <w:rPr>
                <w:sz w:val="16"/>
              </w:rPr>
              <w:t>idempotency</w:t>
            </w:r>
          </w:p>
        </w:tc>
        <w:tc>
          <w:tcPr>
            <w:tcW w:type="dxa" w:w="5040"/>
          </w:tcPr>
          <w:p>
            <w:r>
              <w:rPr>
                <w:sz w:val="16"/>
              </w:rPr>
              <w:t>red_house.service_idempotency</w:t>
            </w:r>
          </w:p>
        </w:tc>
      </w:tr>
      <w:tr>
        <w:tc>
          <w:tcPr>
            <w:tcW w:type="dxa" w:w="5040"/>
          </w:tcPr>
          <w:p>
            <w:r>
              <w:rPr>
                <w:sz w:val="16"/>
              </w:rPr>
              <w:t>inbox</w:t>
            </w:r>
          </w:p>
        </w:tc>
        <w:tc>
          <w:tcPr>
            <w:tcW w:type="dxa" w:w="5040"/>
          </w:tcPr>
          <w:p>
            <w:r>
              <w:rPr>
                <w:sz w:val="16"/>
              </w:rPr>
              <w:t>red_house.service_inbox</w:t>
            </w:r>
          </w:p>
        </w:tc>
      </w:tr>
      <w:tr>
        <w:tc>
          <w:tcPr>
            <w:tcW w:type="dxa" w:w="5040"/>
          </w:tcPr>
          <w:p>
            <w:r>
              <w:rPr>
                <w:sz w:val="16"/>
              </w:rPr>
              <w:t>institutions</w:t>
            </w:r>
          </w:p>
        </w:tc>
        <w:tc>
          <w:tcPr>
            <w:tcW w:type="dxa" w:w="5040"/>
          </w:tcPr>
          <w:p>
            <w:r>
              <w:rPr>
                <w:sz w:val="16"/>
              </w:rPr>
              <w:t>red_house.institution</w:t>
            </w:r>
          </w:p>
        </w:tc>
      </w:tr>
      <w:tr>
        <w:tc>
          <w:tcPr>
            <w:tcW w:type="dxa" w:w="5040"/>
          </w:tcPr>
          <w:p>
            <w:r>
              <w:rPr>
                <w:sz w:val="16"/>
              </w:rPr>
              <w:t>outbox</w:t>
            </w:r>
          </w:p>
        </w:tc>
        <w:tc>
          <w:tcPr>
            <w:tcW w:type="dxa" w:w="5040"/>
          </w:tcPr>
          <w:p>
            <w:r>
              <w:rPr>
                <w:sz w:val="16"/>
              </w:rPr>
              <w:t>red_house.service_outbox</w:t>
            </w:r>
          </w:p>
        </w:tc>
      </w:tr>
      <w:tr>
        <w:tc>
          <w:tcPr>
            <w:tcW w:type="dxa" w:w="5040"/>
          </w:tcPr>
          <w:p>
            <w:r>
              <w:rPr>
                <w:sz w:val="16"/>
              </w:rPr>
              <w:t>schema_version</w:t>
            </w:r>
          </w:p>
        </w:tc>
        <w:tc>
          <w:tcPr>
            <w:tcW w:type="dxa" w:w="5040"/>
          </w:tcPr>
          <w:p>
            <w:r>
              <w:rPr>
                <w:sz w:val="16"/>
              </w:rPr>
              <w:t>red_house.service_schema_version</w:t>
            </w:r>
          </w:p>
        </w:tc>
      </w:tr>
      <w:tr>
        <w:tc>
          <w:tcPr>
            <w:tcW w:type="dxa" w:w="5040"/>
          </w:tcPr>
          <w:p>
            <w:r>
              <w:rPr>
                <w:sz w:val="16"/>
              </w:rPr>
              <w:t>sessions</w:t>
            </w:r>
          </w:p>
        </w:tc>
        <w:tc>
          <w:tcPr>
            <w:tcW w:type="dxa" w:w="5040"/>
          </w:tcPr>
          <w:p>
            <w:r>
              <w:rPr>
                <w:sz w:val="16"/>
              </w:rPr>
              <w:t>red_house.web_session</w:t>
            </w:r>
          </w:p>
        </w:tc>
      </w:tr>
      <w:tr>
        <w:tc>
          <w:tcPr>
            <w:tcW w:type="dxa" w:w="5040"/>
          </w:tcPr>
          <w:p>
            <w:r>
              <w:rPr>
                <w:sz w:val="16"/>
              </w:rPr>
              <w:t>users</w:t>
            </w:r>
          </w:p>
        </w:tc>
        <w:tc>
          <w:tcPr>
            <w:tcW w:type="dxa" w:w="5040"/>
          </w:tcPr>
          <w:p>
            <w:r>
              <w:rPr>
                <w:sz w:val="16"/>
              </w:rPr>
              <w:t>red_house.user_account</w:t>
            </w:r>
          </w:p>
        </w:tc>
      </w:tr>
      <w:tr>
        <w:tc>
          <w:tcPr>
            <w:tcW w:type="dxa" w:w="5040"/>
          </w:tcPr>
          <w:p>
            <w:r>
              <w:rPr>
                <w:sz w:val="16"/>
              </w:rPr>
              <w:t>worker_health</w:t>
            </w:r>
          </w:p>
        </w:tc>
        <w:tc>
          <w:tcPr>
            <w:tcW w:type="dxa" w:w="5040"/>
          </w:tcPr>
          <w:p>
            <w:r>
              <w:rPr>
                <w:sz w:val="16"/>
              </w:rPr>
              <w:t>red_house.service_worker_health</w:t>
            </w:r>
          </w:p>
        </w:tc>
      </w:tr>
    </w:tbl>
    <w:p/>
    <w:p>
      <w:r>
        <w:t>Despliegue: Dockerfile, dos instancias identidad-acceso-a/b, gateway http://127.0.0.1:6101 y Swagger /docs/. Configuración privada propia: DATABASE_URL, REDIS_URL, claves públicas JWT y de servicios, clave privada de firma interna y URLs del gateway. Solo Identidad conserva la clave privada JWT. Transporte añade configuración GCS; los cuatro propietarios documentales añaden MongoDB.</w:t>
      </w:r>
    </w:p>
    <w:p>
      <w:r>
        <w:t>Seguridad: JWT RS256 con Redis en cada operación protegida; rol y recurso según contrato. Rutas internas exigen firma, nonce y autoridad llamante. POST/PATCH de negocio conservan Idempotency-Key donde está declarado, versión y motivo cuando corresponde. GET autorizado genera auditoría; las transacciones publican eventos por outbox.</w:t>
      </w:r>
    </w:p>
    <w:p>
      <w:r>
        <w:t>Contratos: OpenAPI completo · Directorio JSON/XML/XSD · Ejecuciones HTTP.</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rPr>
                <w:sz w:val="16"/>
              </w:rPr>
              <w:t>Método</w:t>
            </w:r>
          </w:p>
        </w:tc>
        <w:tc>
          <w:tcPr>
            <w:tcW w:type="dxa" w:w="2520"/>
          </w:tcPr>
          <w:p>
            <w:r>
              <w:rPr>
                <w:sz w:val="16"/>
              </w:rPr>
              <w:t>Ruta</w:t>
            </w:r>
          </w:p>
        </w:tc>
        <w:tc>
          <w:tcPr>
            <w:tcW w:type="dxa" w:w="2520"/>
          </w:tcPr>
          <w:p>
            <w:r>
              <w:rPr>
                <w:sz w:val="16"/>
              </w:rPr>
              <w:t>Objetivo</w:t>
            </w:r>
          </w:p>
        </w:tc>
        <w:tc>
          <w:tcPr>
            <w:tcW w:type="dxa" w:w="2520"/>
          </w:tcPr>
          <w:p>
            <w:r>
              <w:rPr>
                <w:sz w:val="16"/>
              </w:rPr>
              <w:t>Códigos declarados</w:t>
            </w:r>
          </w:p>
        </w:tc>
      </w:tr>
      <w:tr>
        <w:tc>
          <w:tcPr>
            <w:tcW w:type="dxa" w:w="2520"/>
          </w:tcPr>
          <w:p>
            <w:r>
              <w:rPr>
                <w:sz w:val="16"/>
              </w:rPr>
              <w:t>POST</w:t>
            </w:r>
          </w:p>
        </w:tc>
        <w:tc>
          <w:tcPr>
            <w:tcW w:type="dxa" w:w="2520"/>
          </w:tcPr>
          <w:p>
            <w:r>
              <w:rPr>
                <w:sz w:val="16"/>
              </w:rPr>
              <w:t>/api/v1/auth/login</w:t>
            </w:r>
          </w:p>
        </w:tc>
        <w:tc>
          <w:tcPr>
            <w:tcW w:type="dxa" w:w="2520"/>
          </w:tcPr>
          <w:p>
            <w:r>
              <w:rPr>
                <w:sz w:val="16"/>
              </w:rPr>
              <w:t>Iniciar sesión independiente</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/api/v1/auth/refresh</w:t>
            </w:r>
          </w:p>
        </w:tc>
        <w:tc>
          <w:tcPr>
            <w:tcW w:type="dxa" w:w="2520"/>
          </w:tcPr>
          <w:p>
            <w:r>
              <w:rPr>
                <w:sz w:val="16"/>
              </w:rPr>
              <w:t>Rotar renovación; repetición revoca familia</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/api/v1/auth/logout</w:t>
            </w:r>
          </w:p>
        </w:tc>
        <w:tc>
          <w:tcPr>
            <w:tcW w:type="dxa" w:w="2520"/>
          </w:tcPr>
          <w:p>
            <w:r>
              <w:rPr>
                <w:sz w:val="16"/>
              </w:rPr>
              <w:t>Cerrar sesión y revocar familia</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/api/v1/auth/revoke</w:t>
            </w:r>
          </w:p>
        </w:tc>
        <w:tc>
          <w:tcPr>
            <w:tcW w:type="dxa" w:w="2520"/>
          </w:tcPr>
          <w:p>
            <w:r>
              <w:rPr>
                <w:sz w:val="16"/>
              </w:rPr>
              <w:t>Revocar familia con renovación opaca, incluso si venció el JWT de acceso</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/api/v1/auth/me</w:t>
            </w:r>
          </w:p>
        </w:tc>
        <w:tc>
          <w:tcPr>
            <w:tcW w:type="dxa" w:w="2520"/>
          </w:tcPr>
          <w:p>
            <w:r>
              <w:rPr>
                <w:sz w:val="16"/>
              </w:rPr>
              <w:t>Consultar perfil y permisos vigentes</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/api/v1/institutions</w:t>
            </w:r>
          </w:p>
        </w:tc>
        <w:tc>
          <w:tcPr>
            <w:tcW w:type="dxa" w:w="2520"/>
          </w:tcPr>
          <w:p>
            <w:r>
              <w:rPr>
                <w:sz w:val="16"/>
              </w:rPr>
              <w:t>Instituciones de la región; sin datos clínicos</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/api/v1/institutions</w:t>
            </w:r>
          </w:p>
        </w:tc>
        <w:tc>
          <w:tcPr>
            <w:tcW w:type="dxa" w:w="2520"/>
          </w:tcPr>
          <w:p>
            <w:r>
              <w:rPr>
                <w:sz w:val="16"/>
              </w:rPr>
              <w:t>Registrar institución de la región</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/api/v1/institutions/{identifier}</w:t>
            </w:r>
          </w:p>
        </w:tc>
        <w:tc>
          <w:tcPr>
            <w:tcW w:type="dxa" w:w="2520"/>
          </w:tcPr>
          <w:p>
            <w:r>
              <w:rPr>
                <w:sz w:val="16"/>
              </w:rPr>
              <w:t>Detalle administrativo de institución regional</w:t>
            </w:r>
          </w:p>
        </w:tc>
        <w:tc>
          <w:tcPr>
            <w:tcW w:type="dxa" w:w="2520"/>
          </w:tcPr>
          <w:p>
            <w:r>
              <w:rPr>
                <w:sz w:val="16"/>
              </w:rPr>
              <w:t>200, 400, 401, 403, 404, 406, 409, 413, 415, 422, 429, 500, 503</w:t>
            </w:r>
          </w:p>
        </w:tc>
      </w:tr>
      <w:tr>
        <w:tc>
          <w:tcPr>
            <w:tcW w:type="dxa" w:w="2520"/>
          </w:tcPr>
          <w:p>
            <w:r>
              <w:rPr>
                <w:sz w:val="16"/>
              </w:rPr>
              <w:t>PATCH</w:t>
            </w:r>
          </w:p>
        </w:tc>
        <w:tc>
          <w:tcPr>
            <w:tcW w:type="dxa" w:w="2520"/>
          </w:tcPr>
          <w:p>
            <w:r>
              <w:rPr>
                <w:sz w:val="16"/>
              </w:rPr>
              <w:t>/api/v1/institutions/{identifier}</w:t>
            </w:r>
          </w:p>
        </w:tc>
        <w:tc>
          <w:tcPr>
            <w:tcW w:type="dxa" w:w="2520"/>
          </w:tcPr>
          <w:p>
            <w:r>
              <w:rPr>
                <w:sz w:val="16"/>
              </w:rPr>
              <w:t>Editar nombre institucional propio con versión y motivo</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/api/v1/institutions/{identifier}/administrator</w:t>
            </w:r>
          </w:p>
        </w:tc>
        <w:tc>
          <w:tcPr>
            <w:tcW w:type="dxa" w:w="2520"/>
          </w:tcPr>
          <w:p>
            <w:r>
              <w:rPr>
                <w:sz w:val="16"/>
              </w:rPr>
              <w:t>Provisionar primer administrador de una institución creada por esta cuenta</w:t>
            </w:r>
          </w:p>
        </w:tc>
        <w:tc>
          <w:tcPr>
            <w:tcW w:type="dxa" w:w="2520"/>
          </w:tcPr>
          <w:p>
            <w:r>
              <w:rPr>
                <w:sz w:val="16"/>
              </w:rPr>
              <w:t>201, 400, 401, 403, 404, 406, 409, 413, 415, 422, 429, 500, 503</w:t>
            </w:r>
          </w:p>
        </w:tc>
      </w:tr>
      <w:tr>
        <w:tc>
          <w:tcPr>
            <w:tcW w:type="dxa" w:w="2520"/>
          </w:tcPr>
          <w:p>
            <w:r>
              <w:rPr>
                <w:sz w:val="16"/>
              </w:rPr>
              <w:t>POST</w:t>
            </w:r>
          </w:p>
        </w:tc>
        <w:tc>
          <w:tcPr>
            <w:tcW w:type="dxa" w:w="2520"/>
          </w:tcPr>
          <w:p>
            <w:r>
              <w:rPr>
                <w:sz w:val="16"/>
              </w:rPr>
              <w:t>/api/v1/users</w:t>
            </w:r>
          </w:p>
        </w:tc>
        <w:tc>
          <w:tcPr>
            <w:tcW w:type="dxa" w:w="2520"/>
          </w:tcPr>
          <w:p>
            <w:r>
              <w:rPr>
                <w:sz w:val="16"/>
              </w:rPr>
              <w:t>Crear cuenta institucional</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/api/v1/users</w:t>
            </w:r>
          </w:p>
        </w:tc>
        <w:tc>
          <w:tcPr>
            <w:tcW w:type="dxa" w:w="2520"/>
          </w:tcPr>
          <w:p>
            <w:r>
              <w:rPr>
                <w:sz w:val="16"/>
              </w:rPr>
              <w:t>Cuentas propias o personal regional de traslado; nunca hashes ni sesiones</w:t>
            </w:r>
          </w:p>
        </w:tc>
        <w:tc>
          <w:tcPr>
            <w:tcW w:type="dxa" w:w="2520"/>
          </w:tcPr>
          <w:p>
            <w:r>
              <w:rPr>
                <w:sz w:val="16"/>
              </w:rPr>
              <w:t>200, 400, 401, 403, 404, 406, 409, 413, 415, 422, 429, 500, 503</w:t>
            </w:r>
          </w:p>
        </w:tc>
      </w:tr>
      <w:tr>
        <w:tc>
          <w:tcPr>
            <w:tcW w:type="dxa" w:w="2520"/>
          </w:tcPr>
          <w:p>
            <w:r>
              <w:rPr>
                <w:sz w:val="16"/>
              </w:rPr>
              <w:t>PATCH</w:t>
            </w:r>
          </w:p>
        </w:tc>
        <w:tc>
          <w:tcPr>
            <w:tcW w:type="dxa" w:w="2520"/>
          </w:tcPr>
          <w:p>
            <w:r>
              <w:rPr>
                <w:sz w:val="16"/>
              </w:rPr>
              <w:t>/api/v1/users/{identifier}</w:t>
            </w:r>
          </w:p>
        </w:tc>
        <w:tc>
          <w:tcPr>
            <w:tcW w:type="dxa" w:w="2520"/>
          </w:tcPr>
          <w:p>
            <w:r>
              <w:rPr>
                <w:sz w:val="16"/>
              </w:rPr>
              <w:t>Activar/desactivar cuenta; invalidar permisos antes del cambio</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/internal/v1/institutions/{identifier}</w:t>
            </w:r>
          </w:p>
        </w:tc>
        <w:tc>
          <w:tcPr>
            <w:tcW w:type="dxa" w:w="2520"/>
          </w:tcPr>
          <w:p>
            <w:r>
              <w:rPr>
                <w:sz w:val="16"/>
              </w:rPr>
              <w:t>Referencia institucional autorizada</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/internal/v1/users/{identifier}</w:t>
            </w:r>
          </w:p>
        </w:tc>
        <w:tc>
          <w:tcPr>
            <w:tcW w:type="dxa" w:w="2520"/>
          </w:tcPr>
          <w:p>
            <w:r>
              <w:rPr>
                <w:sz w:val="16"/>
              </w:rPr>
              <w:t>Validar personal de traslado</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/api/v1/catalogues/sites</w:t>
            </w:r>
          </w:p>
        </w:tc>
        <w:tc>
          <w:tcPr>
            <w:tcW w:type="dxa" w:w="2520"/>
          </w:tcPr>
          <w:p>
            <w:r>
              <w:rPr>
                <w:sz w:val="16"/>
              </w:rPr>
              <w:t>Consultar sites</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/api/v1/catalogues/sites</w:t>
            </w:r>
          </w:p>
        </w:tc>
        <w:tc>
          <w:tcPr>
            <w:tcW w:type="dxa" w:w="2520"/>
          </w:tcPr>
          <w:p>
            <w:r>
              <w:rPr>
                <w:sz w:val="16"/>
              </w:rPr>
              <w:t>Registrar sites</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/api/v1/catalogues/sites/{identifier}</w:t>
            </w:r>
          </w:p>
        </w:tc>
        <w:tc>
          <w:tcPr>
            <w:tcW w:type="dxa" w:w="2520"/>
          </w:tcPr>
          <w:p>
            <w:r>
              <w:rPr>
                <w:sz w:val="16"/>
              </w:rPr>
              <w:t>Detalle de sites</w:t>
            </w:r>
          </w:p>
        </w:tc>
        <w:tc>
          <w:tcPr>
            <w:tcW w:type="dxa" w:w="2520"/>
          </w:tcPr>
          <w:p>
            <w:r>
              <w:rPr>
                <w:sz w:val="16"/>
              </w:rPr>
              <w:t>200, 400, 401, 403, 404, 406, 409, 413, 415, 422, 429, 500, 503</w:t>
            </w:r>
          </w:p>
        </w:tc>
      </w:tr>
      <w:tr>
        <w:tc>
          <w:tcPr>
            <w:tcW w:type="dxa" w:w="2520"/>
          </w:tcPr>
          <w:p>
            <w:r>
              <w:rPr>
                <w:sz w:val="16"/>
              </w:rPr>
              <w:t>PATCH</w:t>
            </w:r>
          </w:p>
        </w:tc>
        <w:tc>
          <w:tcPr>
            <w:tcW w:type="dxa" w:w="2520"/>
          </w:tcPr>
          <w:p>
            <w:r>
              <w:rPr>
                <w:sz w:val="16"/>
              </w:rPr>
              <w:t>/api/v1/catalogues/sites/{identifier}</w:t>
            </w:r>
          </w:p>
        </w:tc>
        <w:tc>
          <w:tcPr>
            <w:tcW w:type="dxa" w:w="2520"/>
          </w:tcPr>
          <w:p>
            <w:r>
              <w:rPr>
                <w:sz w:val="16"/>
              </w:rPr>
              <w:t>Editar o desactivar sites</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/api/v1/catalogues/contacts</w:t>
            </w:r>
          </w:p>
        </w:tc>
        <w:tc>
          <w:tcPr>
            <w:tcW w:type="dxa" w:w="2520"/>
          </w:tcPr>
          <w:p>
            <w:r>
              <w:rPr>
                <w:sz w:val="16"/>
              </w:rPr>
              <w:t>Consultar contacts</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/api/v1/catalogues/contacts</w:t>
            </w:r>
          </w:p>
        </w:tc>
        <w:tc>
          <w:tcPr>
            <w:tcW w:type="dxa" w:w="2520"/>
          </w:tcPr>
          <w:p>
            <w:r>
              <w:rPr>
                <w:sz w:val="16"/>
              </w:rPr>
              <w:t>Registrar contacts</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/api/v1/catalogues/contacts/{identifier}</w:t>
            </w:r>
          </w:p>
        </w:tc>
        <w:tc>
          <w:tcPr>
            <w:tcW w:type="dxa" w:w="2520"/>
          </w:tcPr>
          <w:p>
            <w:r>
              <w:rPr>
                <w:sz w:val="16"/>
              </w:rPr>
              <w:t>Detalle de contacts</w:t>
            </w:r>
          </w:p>
        </w:tc>
        <w:tc>
          <w:tcPr>
            <w:tcW w:type="dxa" w:w="2520"/>
          </w:tcPr>
          <w:p>
            <w:r>
              <w:rPr>
                <w:sz w:val="16"/>
              </w:rPr>
              <w:t>200, 400, 401, 403, 404, 406, 409, 413, 415, 422, 429, 500, 503</w:t>
            </w:r>
          </w:p>
        </w:tc>
      </w:tr>
      <w:tr>
        <w:tc>
          <w:tcPr>
            <w:tcW w:type="dxa" w:w="2520"/>
          </w:tcPr>
          <w:p>
            <w:r>
              <w:rPr>
                <w:sz w:val="16"/>
              </w:rPr>
              <w:t>PATCH</w:t>
            </w:r>
          </w:p>
        </w:tc>
        <w:tc>
          <w:tcPr>
            <w:tcW w:type="dxa" w:w="2520"/>
          </w:tcPr>
          <w:p>
            <w:r>
              <w:rPr>
                <w:sz w:val="16"/>
              </w:rPr>
              <w:t>/api/v1/catalogues/contacts/{identifier}</w:t>
            </w:r>
          </w:p>
        </w:tc>
        <w:tc>
          <w:tcPr>
            <w:tcW w:type="dxa" w:w="2520"/>
          </w:tcPr>
          <w:p>
            <w:r>
              <w:rPr>
                <w:sz w:val="16"/>
              </w:rPr>
              <w:t>Editar o desactivar contacts</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/api/v1/catalogues/schedules</w:t>
            </w:r>
          </w:p>
        </w:tc>
        <w:tc>
          <w:tcPr>
            <w:tcW w:type="dxa" w:w="2520"/>
          </w:tcPr>
          <w:p>
            <w:r>
              <w:rPr>
                <w:sz w:val="16"/>
              </w:rPr>
              <w:t>Consultar schedules</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/api/v1/catalogues/schedules</w:t>
            </w:r>
          </w:p>
        </w:tc>
        <w:tc>
          <w:tcPr>
            <w:tcW w:type="dxa" w:w="2520"/>
          </w:tcPr>
          <w:p>
            <w:r>
              <w:rPr>
                <w:sz w:val="16"/>
              </w:rPr>
              <w:t>Registrar schedules</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/api/v1/catalogues/schedules/{identifier}</w:t>
            </w:r>
          </w:p>
        </w:tc>
        <w:tc>
          <w:tcPr>
            <w:tcW w:type="dxa" w:w="2520"/>
          </w:tcPr>
          <w:p>
            <w:r>
              <w:rPr>
                <w:sz w:val="16"/>
              </w:rPr>
              <w:t>Detalle de schedules</w:t>
            </w:r>
          </w:p>
        </w:tc>
        <w:tc>
          <w:tcPr>
            <w:tcW w:type="dxa" w:w="2520"/>
          </w:tcPr>
          <w:p>
            <w:r>
              <w:rPr>
                <w:sz w:val="16"/>
              </w:rPr>
              <w:t>200, 400, 401, 403, 404, 406, 409, 413, 415, 422, 429, 500, 503</w:t>
            </w:r>
          </w:p>
        </w:tc>
      </w:tr>
      <w:tr>
        <w:tc>
          <w:tcPr>
            <w:tcW w:type="dxa" w:w="2520"/>
          </w:tcPr>
          <w:p>
            <w:r>
              <w:rPr>
                <w:sz w:val="16"/>
              </w:rPr>
              <w:t>PATCH</w:t>
            </w:r>
          </w:p>
        </w:tc>
        <w:tc>
          <w:tcPr>
            <w:tcW w:type="dxa" w:w="2520"/>
          </w:tcPr>
          <w:p>
            <w:r>
              <w:rPr>
                <w:sz w:val="16"/>
              </w:rPr>
              <w:t>/api/v1/catalogues/schedules/{identifier}</w:t>
            </w:r>
          </w:p>
        </w:tc>
        <w:tc>
          <w:tcPr>
            <w:tcW w:type="dxa" w:w="2520"/>
          </w:tcPr>
          <w:p>
            <w:r>
              <w:rPr>
                <w:sz w:val="16"/>
              </w:rPr>
              <w:t>Editar o desactivar schedules</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/api/v1/catalogues/capacities</w:t>
            </w:r>
          </w:p>
        </w:tc>
        <w:tc>
          <w:tcPr>
            <w:tcW w:type="dxa" w:w="2520"/>
          </w:tcPr>
          <w:p>
            <w:r>
              <w:rPr>
                <w:sz w:val="16"/>
              </w:rPr>
              <w:t>Consultar capacities</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/api/v1/catalogues/capacities</w:t>
            </w:r>
          </w:p>
        </w:tc>
        <w:tc>
          <w:tcPr>
            <w:tcW w:type="dxa" w:w="2520"/>
          </w:tcPr>
          <w:p>
            <w:r>
              <w:rPr>
                <w:sz w:val="16"/>
              </w:rPr>
              <w:t>Registrar capacities</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/api/v1/catalogues/capacities/{identifier}</w:t>
            </w:r>
          </w:p>
        </w:tc>
        <w:tc>
          <w:tcPr>
            <w:tcW w:type="dxa" w:w="2520"/>
          </w:tcPr>
          <w:p>
            <w:r>
              <w:rPr>
                <w:sz w:val="16"/>
              </w:rPr>
              <w:t>Detalle de capacities</w:t>
            </w:r>
          </w:p>
        </w:tc>
        <w:tc>
          <w:tcPr>
            <w:tcW w:type="dxa" w:w="2520"/>
          </w:tcPr>
          <w:p>
            <w:r>
              <w:rPr>
                <w:sz w:val="16"/>
              </w:rPr>
              <w:t>200, 400, 401, 403, 404, 406, 409, 413, 415, 422, 429, 500, 503</w:t>
            </w:r>
          </w:p>
        </w:tc>
      </w:tr>
      <w:tr>
        <w:tc>
          <w:tcPr>
            <w:tcW w:type="dxa" w:w="2520"/>
          </w:tcPr>
          <w:p>
            <w:r>
              <w:rPr>
                <w:sz w:val="16"/>
              </w:rPr>
              <w:t>PATCH</w:t>
            </w:r>
          </w:p>
        </w:tc>
        <w:tc>
          <w:tcPr>
            <w:tcW w:type="dxa" w:w="2520"/>
          </w:tcPr>
          <w:p>
            <w:r>
              <w:rPr>
                <w:sz w:val="16"/>
              </w:rPr>
              <w:t>/api/v1/catalogues/capacities/{identifier}</w:t>
            </w:r>
          </w:p>
        </w:tc>
        <w:tc>
          <w:tcPr>
            <w:tcW w:type="dxa" w:w="2520"/>
          </w:tcPr>
          <w:p>
            <w:r>
              <w:rPr>
                <w:sz w:val="16"/>
              </w:rPr>
              <w:t>Editar o desactivar capacities</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/api/v1/catalogues/locations</w:t>
            </w:r>
          </w:p>
        </w:tc>
        <w:tc>
          <w:tcPr>
            <w:tcW w:type="dxa" w:w="2520"/>
          </w:tcPr>
          <w:p>
            <w:r>
              <w:rPr>
                <w:sz w:val="16"/>
              </w:rPr>
              <w:t>Consultar locations</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/api/v1/catalogues/locations</w:t>
            </w:r>
          </w:p>
        </w:tc>
        <w:tc>
          <w:tcPr>
            <w:tcW w:type="dxa" w:w="2520"/>
          </w:tcPr>
          <w:p>
            <w:r>
              <w:rPr>
                <w:sz w:val="16"/>
              </w:rPr>
              <w:t>Registrar locations</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/api/v1/catalogues/locations/{identifier}</w:t>
            </w:r>
          </w:p>
        </w:tc>
        <w:tc>
          <w:tcPr>
            <w:tcW w:type="dxa" w:w="2520"/>
          </w:tcPr>
          <w:p>
            <w:r>
              <w:rPr>
                <w:sz w:val="16"/>
              </w:rPr>
              <w:t>Detalle de locations</w:t>
            </w:r>
          </w:p>
        </w:tc>
        <w:tc>
          <w:tcPr>
            <w:tcW w:type="dxa" w:w="2520"/>
          </w:tcPr>
          <w:p>
            <w:r>
              <w:rPr>
                <w:sz w:val="16"/>
              </w:rPr>
              <w:t>200, 400, 401, 403, 404, 406, 409, 413, 415, 422, 429, 500, 503</w:t>
            </w:r>
          </w:p>
        </w:tc>
      </w:tr>
      <w:tr>
        <w:tc>
          <w:tcPr>
            <w:tcW w:type="dxa" w:w="2520"/>
          </w:tcPr>
          <w:p>
            <w:r>
              <w:rPr>
                <w:sz w:val="16"/>
              </w:rPr>
              <w:t>PATCH</w:t>
            </w:r>
          </w:p>
        </w:tc>
        <w:tc>
          <w:tcPr>
            <w:tcW w:type="dxa" w:w="2520"/>
          </w:tcPr>
          <w:p>
            <w:r>
              <w:rPr>
                <w:sz w:val="16"/>
              </w:rPr>
              <w:t>/api/v1/catalogues/locations/{identifier}</w:t>
            </w:r>
          </w:p>
        </w:tc>
        <w:tc>
          <w:tcPr>
            <w:tcW w:type="dxa" w:w="2520"/>
          </w:tcPr>
          <w:p>
            <w:r>
              <w:rPr>
                <w:sz w:val="16"/>
              </w:rPr>
              <w:t>Editar o desactivar locations</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/internal/v1/locations/{identifier}</w:t>
            </w:r>
          </w:p>
        </w:tc>
        <w:tc>
          <w:tcPr>
            <w:tcW w:type="dxa" w:w="2520"/>
          </w:tcPr>
          <w:p>
            <w:r>
              <w:rPr>
                <w:sz w:val="16"/>
              </w:rPr>
              <w:t>Validar ubicación y sede de la institución del usuario</w:t>
            </w:r>
          </w:p>
        </w:tc>
        <w:tc>
          <w:tcPr>
            <w:tcW w:type="dxa" w:w="2520"/>
          </w:tcPr>
          <w:p>
            <w:r>
              <w:rPr>
                <w:sz w:val="16"/>
              </w:rPr>
              <w:t>200, 400, 401, 403, 404, 406, 409, 413, 415, 422, 429, 500, 503</w:t>
            </w:r>
          </w:p>
        </w:tc>
      </w:tr>
    </w:tbl>
    <w:p/>
    <w:p>
      <w:r>
        <w:t>Entradas y salidas: encabezados Authorization, Accept, Content-Type, X-Correlation-ID y Idempotency-Key según operación. Parámetros de ruta UUID y consulta/paginación constan en OpenAPI. Respuesta {data,meta} o {error,meta}, con representación XML equivalente. El contrato interno añade encabezados de firma del servicio; los valores secretos están redactados en evidencia.</w:t>
      </w:r>
    </w:p>
    <w:p>
      <w:r>
        <w:t>Pruebas: suite de apps/services/tests, expediente dinámico por método/ruta y pruebas Docker de negocio. Consultar RESULTADOS.md para resultados reales y limitaciones; no se considera probado un endpoint solo por aparecer en esta tabla.</w:t>
      </w:r>
    </w:p>
    <w:p>
      <w:pPr>
        <w:pStyle w:val="Heading2"/>
      </w:pPr>
      <w:r>
        <w:t>Donantes</w:t>
      </w:r>
    </w:p>
    <w:p>
      <w:r>
        <w:t>Gestiona registros preliminares, consentimiento, dictamen humano, donaciones, campañas y citas.</w:t>
      </w:r>
    </w:p>
    <w:p>
      <w:r>
        <w:t>Justificación y proceso: Un donante se registra y agenda una cita. Un médico registra elegibilidad; después se documentan recolección y procesamiento.</w:t>
      </w:r>
    </w:p>
    <w:p>
      <w:r>
        <w:t>Integración declarada: puede invocar contratos internos de alertas, auditoria, identidad_acceso; acepta llamadas firmadas de inventario. Estas relaciones incluyen entrega de eventos. Monitoreo consulta además la salud pública de todos los componentes. Cada ruta conserva su lista específica de consumidores y delegación en OpenAPI.</w:t>
      </w:r>
    </w:p>
    <w:p>
      <w:r>
        <w:t>Persistencia y relaciones: PostgreSQL conserva expedientes y transacciones. Redis valida acceso y limita consumo. Outbox publica auditoría y avisos dirigidos al donante.</w:t>
      </w:r>
    </w:p>
    <w:p>
      <w:r>
        <w:t>Ámbito SQL: access_donantes. La correspondencia siguiente procede del SQL de instalación. Las tablas técnicas service_* filtran el propietario; las claves y relaciones completas constan en el catálogo físico.</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rPr>
                <w:sz w:val="16"/>
              </w:rPr>
              <w:t>Vista autorizada</w:t>
            </w:r>
          </w:p>
        </w:tc>
        <w:tc>
          <w:tcPr>
            <w:tcW w:type="dxa" w:w="5040"/>
          </w:tcPr>
          <w:p>
            <w:r>
              <w:rPr>
                <w:sz w:val="16"/>
              </w:rPr>
              <w:t>Tabla física compartida</w:t>
            </w:r>
          </w:p>
        </w:tc>
      </w:tr>
      <w:tr>
        <w:tc>
          <w:tcPr>
            <w:tcW w:type="dxa" w:w="5040"/>
          </w:tcPr>
          <w:p>
            <w:r>
              <w:rPr>
                <w:sz w:val="16"/>
              </w:rPr>
              <w:t>activity_events</w:t>
            </w:r>
          </w:p>
        </w:tc>
        <w:tc>
          <w:tcPr>
            <w:tcW w:type="dxa" w:w="5040"/>
          </w:tcPr>
          <w:p>
            <w:r>
              <w:rPr>
                <w:sz w:val="16"/>
              </w:rPr>
              <w:t>red_house.service_activity_events</w:t>
            </w:r>
          </w:p>
        </w:tc>
      </w:tr>
      <w:tr>
        <w:tc>
          <w:tcPr>
            <w:tcW w:type="dxa" w:w="5040"/>
          </w:tcPr>
          <w:p>
            <w:r>
              <w:rPr>
                <w:sz w:val="16"/>
              </w:rPr>
              <w:t>appointments</w:t>
            </w:r>
          </w:p>
        </w:tc>
        <w:tc>
          <w:tcPr>
            <w:tcW w:type="dxa" w:w="5040"/>
          </w:tcPr>
          <w:p>
            <w:r>
              <w:rPr>
                <w:sz w:val="16"/>
              </w:rPr>
              <w:t>red_house.appointment</w:t>
            </w:r>
          </w:p>
        </w:tc>
      </w:tr>
      <w:tr>
        <w:tc>
          <w:tcPr>
            <w:tcW w:type="dxa" w:w="5040"/>
          </w:tcPr>
          <w:p>
            <w:r>
              <w:rPr>
                <w:sz w:val="16"/>
              </w:rPr>
              <w:t>campaigns</w:t>
            </w:r>
          </w:p>
        </w:tc>
        <w:tc>
          <w:tcPr>
            <w:tcW w:type="dxa" w:w="5040"/>
          </w:tcPr>
          <w:p>
            <w:r>
              <w:rPr>
                <w:sz w:val="16"/>
              </w:rPr>
              <w:t>red_house.campaign</w:t>
            </w:r>
          </w:p>
        </w:tc>
      </w:tr>
      <w:tr>
        <w:tc>
          <w:tcPr>
            <w:tcW w:type="dxa" w:w="5040"/>
          </w:tcPr>
          <w:p>
            <w:r>
              <w:rPr>
                <w:sz w:val="16"/>
              </w:rPr>
              <w:t>decisions</w:t>
            </w:r>
          </w:p>
        </w:tc>
        <w:tc>
          <w:tcPr>
            <w:tcW w:type="dxa" w:w="5040"/>
          </w:tcPr>
          <w:p>
            <w:r>
              <w:rPr>
                <w:sz w:val="16"/>
              </w:rPr>
              <w:t>red_house.service_decisions</w:t>
            </w:r>
          </w:p>
        </w:tc>
      </w:tr>
      <w:tr>
        <w:tc>
          <w:tcPr>
            <w:tcW w:type="dxa" w:w="5040"/>
          </w:tcPr>
          <w:p>
            <w:r>
              <w:rPr>
                <w:sz w:val="16"/>
              </w:rPr>
              <w:t>donation_steps</w:t>
            </w:r>
          </w:p>
        </w:tc>
        <w:tc>
          <w:tcPr>
            <w:tcW w:type="dxa" w:w="5040"/>
          </w:tcPr>
          <w:p>
            <w:r>
              <w:rPr>
                <w:sz w:val="16"/>
              </w:rPr>
              <w:t>red_house.donation_event</w:t>
            </w:r>
          </w:p>
        </w:tc>
      </w:tr>
      <w:tr>
        <w:tc>
          <w:tcPr>
            <w:tcW w:type="dxa" w:w="5040"/>
          </w:tcPr>
          <w:p>
            <w:r>
              <w:rPr>
                <w:sz w:val="16"/>
              </w:rPr>
              <w:t>donations</w:t>
            </w:r>
          </w:p>
        </w:tc>
        <w:tc>
          <w:tcPr>
            <w:tcW w:type="dxa" w:w="5040"/>
          </w:tcPr>
          <w:p>
            <w:r>
              <w:rPr>
                <w:sz w:val="16"/>
              </w:rPr>
              <w:t>red_house.donation</w:t>
            </w:r>
          </w:p>
        </w:tc>
      </w:tr>
      <w:tr>
        <w:tc>
          <w:tcPr>
            <w:tcW w:type="dxa" w:w="5040"/>
          </w:tcPr>
          <w:p>
            <w:r>
              <w:rPr>
                <w:sz w:val="16"/>
              </w:rPr>
              <w:t>donor_reviews</w:t>
            </w:r>
          </w:p>
        </w:tc>
        <w:tc>
          <w:tcPr>
            <w:tcW w:type="dxa" w:w="5040"/>
          </w:tcPr>
          <w:p>
            <w:r>
              <w:rPr>
                <w:sz w:val="16"/>
              </w:rPr>
              <w:t>red_house.donor_review</w:t>
            </w:r>
          </w:p>
        </w:tc>
      </w:tr>
      <w:tr>
        <w:tc>
          <w:tcPr>
            <w:tcW w:type="dxa" w:w="5040"/>
          </w:tcPr>
          <w:p>
            <w:r>
              <w:rPr>
                <w:sz w:val="16"/>
              </w:rPr>
              <w:t>donors</w:t>
            </w:r>
          </w:p>
        </w:tc>
        <w:tc>
          <w:tcPr>
            <w:tcW w:type="dxa" w:w="5040"/>
          </w:tcPr>
          <w:p>
            <w:r>
              <w:rPr>
                <w:sz w:val="16"/>
              </w:rPr>
              <w:t>red_house.donor</w:t>
            </w:r>
          </w:p>
        </w:tc>
      </w:tr>
      <w:tr>
        <w:tc>
          <w:tcPr>
            <w:tcW w:type="dxa" w:w="5040"/>
          </w:tcPr>
          <w:p>
            <w:r>
              <w:rPr>
                <w:sz w:val="16"/>
              </w:rPr>
              <w:t>idempotency</w:t>
            </w:r>
          </w:p>
        </w:tc>
        <w:tc>
          <w:tcPr>
            <w:tcW w:type="dxa" w:w="5040"/>
          </w:tcPr>
          <w:p>
            <w:r>
              <w:rPr>
                <w:sz w:val="16"/>
              </w:rPr>
              <w:t>red_house.service_idempotency</w:t>
            </w:r>
          </w:p>
        </w:tc>
      </w:tr>
      <w:tr>
        <w:tc>
          <w:tcPr>
            <w:tcW w:type="dxa" w:w="5040"/>
          </w:tcPr>
          <w:p>
            <w:r>
              <w:rPr>
                <w:sz w:val="16"/>
              </w:rPr>
              <w:t>inbox</w:t>
            </w:r>
          </w:p>
        </w:tc>
        <w:tc>
          <w:tcPr>
            <w:tcW w:type="dxa" w:w="5040"/>
          </w:tcPr>
          <w:p>
            <w:r>
              <w:rPr>
                <w:sz w:val="16"/>
              </w:rPr>
              <w:t>red_house.service_inbox</w:t>
            </w:r>
          </w:p>
        </w:tc>
      </w:tr>
      <w:tr>
        <w:tc>
          <w:tcPr>
            <w:tcW w:type="dxa" w:w="5040"/>
          </w:tcPr>
          <w:p>
            <w:r>
              <w:rPr>
                <w:sz w:val="16"/>
              </w:rPr>
              <w:t>outbox</w:t>
            </w:r>
          </w:p>
        </w:tc>
        <w:tc>
          <w:tcPr>
            <w:tcW w:type="dxa" w:w="5040"/>
          </w:tcPr>
          <w:p>
            <w:r>
              <w:rPr>
                <w:sz w:val="16"/>
              </w:rPr>
              <w:t>red_house.service_outbox</w:t>
            </w:r>
          </w:p>
        </w:tc>
      </w:tr>
      <w:tr>
        <w:tc>
          <w:tcPr>
            <w:tcW w:type="dxa" w:w="5040"/>
          </w:tcPr>
          <w:p>
            <w:r>
              <w:rPr>
                <w:sz w:val="16"/>
              </w:rPr>
              <w:t>schema_version</w:t>
            </w:r>
          </w:p>
        </w:tc>
        <w:tc>
          <w:tcPr>
            <w:tcW w:type="dxa" w:w="5040"/>
          </w:tcPr>
          <w:p>
            <w:r>
              <w:rPr>
                <w:sz w:val="16"/>
              </w:rPr>
              <w:t>red_house.service_schema_version</w:t>
            </w:r>
          </w:p>
        </w:tc>
      </w:tr>
      <w:tr>
        <w:tc>
          <w:tcPr>
            <w:tcW w:type="dxa" w:w="5040"/>
          </w:tcPr>
          <w:p>
            <w:r>
              <w:rPr>
                <w:sz w:val="16"/>
              </w:rPr>
              <w:t>worker_health</w:t>
            </w:r>
          </w:p>
        </w:tc>
        <w:tc>
          <w:tcPr>
            <w:tcW w:type="dxa" w:w="5040"/>
          </w:tcPr>
          <w:p>
            <w:r>
              <w:rPr>
                <w:sz w:val="16"/>
              </w:rPr>
              <w:t>red_house.service_worker_health</w:t>
            </w:r>
          </w:p>
        </w:tc>
      </w:tr>
    </w:tbl>
    <w:p/>
    <w:p>
      <w:r>
        <w:t>Despliegue: Dockerfile, dos instancias donantes-a/b, gateway http://127.0.0.1:6102 y Swagger /docs/. Configuración privada propia: DATABASE_URL, REDIS_URL, claves públicas JWT y de servicios, clave privada de firma interna y URLs del gateway. Solo Identidad conserva la clave privada JWT. Transporte añade configuración GCS; los cuatro propietarios documentales añaden MongoDB.</w:t>
      </w:r>
    </w:p>
    <w:p>
      <w:r>
        <w:t>Seguridad: JWT RS256 con Redis en cada operación protegida; rol y recurso según contrato. Rutas internas exigen firma, nonce y autoridad llamante. POST/PATCH de negocio conservan Idempotency-Key donde está declarado, versión y motivo cuando corresponde. GET autorizado genera auditoría; las transacciones publican eventos por outbox.</w:t>
      </w:r>
    </w:p>
    <w:p>
      <w:r>
        <w:t>Contratos: OpenAPI completo · Directorio JSON/XML/XSD · Ejecuciones HTTP.</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rPr>
                <w:sz w:val="16"/>
              </w:rPr>
              <w:t>Método</w:t>
            </w:r>
          </w:p>
        </w:tc>
        <w:tc>
          <w:tcPr>
            <w:tcW w:type="dxa" w:w="2520"/>
          </w:tcPr>
          <w:p>
            <w:r>
              <w:rPr>
                <w:sz w:val="16"/>
              </w:rPr>
              <w:t>Ruta</w:t>
            </w:r>
          </w:p>
        </w:tc>
        <w:tc>
          <w:tcPr>
            <w:tcW w:type="dxa" w:w="2520"/>
          </w:tcPr>
          <w:p>
            <w:r>
              <w:rPr>
                <w:sz w:val="16"/>
              </w:rPr>
              <w:t>Objetivo</w:t>
            </w:r>
          </w:p>
        </w:tc>
        <w:tc>
          <w:tcPr>
            <w:tcW w:type="dxa" w:w="2520"/>
          </w:tcPr>
          <w:p>
            <w:r>
              <w:rPr>
                <w:sz w:val="16"/>
              </w:rPr>
              <w:t>Códigos declarados</w:t>
            </w:r>
          </w:p>
        </w:tc>
      </w:tr>
      <w:tr>
        <w:tc>
          <w:tcPr>
            <w:tcW w:type="dxa" w:w="2520"/>
          </w:tcPr>
          <w:p>
            <w:r>
              <w:rPr>
                <w:sz w:val="16"/>
              </w:rPr>
              <w:t>POST</w:t>
            </w:r>
          </w:p>
        </w:tc>
        <w:tc>
          <w:tcPr>
            <w:tcW w:type="dxa" w:w="2520"/>
          </w:tcPr>
          <w:p>
            <w:r>
              <w:rPr>
                <w:sz w:val="16"/>
              </w:rPr>
              <w:t>/api/v1/donors</w:t>
            </w:r>
          </w:p>
        </w:tc>
        <w:tc>
          <w:tcPr>
            <w:tcW w:type="dxa" w:w="2520"/>
          </w:tcPr>
          <w:p>
            <w:r>
              <w:rPr>
                <w:sz w:val="16"/>
              </w:rPr>
              <w:t>Registro preliminar con consentimiento</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/api/v1/donors</w:t>
            </w:r>
          </w:p>
        </w:tc>
        <w:tc>
          <w:tcPr>
            <w:tcW w:type="dxa" w:w="2520"/>
          </w:tcPr>
          <w:p>
            <w:r>
              <w:rPr>
                <w:sz w:val="16"/>
              </w:rPr>
              <w:t>Expedientes autorizados</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/api/v1/donors/{identifier}</w:t>
            </w:r>
          </w:p>
        </w:tc>
        <w:tc>
          <w:tcPr>
            <w:tcW w:type="dxa" w:w="2520"/>
          </w:tcPr>
          <w:p>
            <w:r>
              <w:rPr>
                <w:sz w:val="16"/>
              </w:rPr>
              <w:t>Expediente y evaluaciones humanas</w:t>
            </w:r>
          </w:p>
        </w:tc>
        <w:tc>
          <w:tcPr>
            <w:tcW w:type="dxa" w:w="2520"/>
          </w:tcPr>
          <w:p>
            <w:r>
              <w:rPr>
                <w:sz w:val="16"/>
              </w:rPr>
              <w:t>200, 400, 401, 403, 404, 406, 409, 413, 415, 422, 429, 500, 503</w:t>
            </w:r>
          </w:p>
        </w:tc>
      </w:tr>
      <w:tr>
        <w:tc>
          <w:tcPr>
            <w:tcW w:type="dxa" w:w="2520"/>
          </w:tcPr>
          <w:p>
            <w:r>
              <w:rPr>
                <w:sz w:val="16"/>
              </w:rPr>
              <w:t>PATCH</w:t>
            </w:r>
          </w:p>
        </w:tc>
        <w:tc>
          <w:tcPr>
            <w:tcW w:type="dxa" w:w="2520"/>
          </w:tcPr>
          <w:p>
            <w:r>
              <w:rPr>
                <w:sz w:val="16"/>
              </w:rPr>
              <w:t>/api/v1/donors/{identifier}</w:t>
            </w:r>
          </w:p>
        </w:tc>
        <w:tc>
          <w:tcPr>
            <w:tcW w:type="dxa" w:w="2520"/>
          </w:tcPr>
          <w:p>
            <w:r>
              <w:rPr>
                <w:sz w:val="16"/>
              </w:rPr>
              <w:t>Corregir expediente sin dictámenes ni donaciones</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/api/v1/donors/{identifier}/reviews</w:t>
            </w:r>
          </w:p>
        </w:tc>
        <w:tc>
          <w:tcPr>
            <w:tcW w:type="dxa" w:w="2520"/>
          </w:tcPr>
          <w:p>
            <w:r>
              <w:rPr>
                <w:sz w:val="16"/>
              </w:rPr>
              <w:t>Dictamen humano de elegibilidad</w:t>
            </w:r>
          </w:p>
        </w:tc>
        <w:tc>
          <w:tcPr>
            <w:tcW w:type="dxa" w:w="2520"/>
          </w:tcPr>
          <w:p>
            <w:r>
              <w:rPr>
                <w:sz w:val="16"/>
              </w:rPr>
              <w:t>201, 400, 401, 403, 404, 406, 409, 413, 415, 422, 429, 500, 503</w:t>
            </w:r>
          </w:p>
        </w:tc>
      </w:tr>
      <w:tr>
        <w:tc>
          <w:tcPr>
            <w:tcW w:type="dxa" w:w="2520"/>
          </w:tcPr>
          <w:p>
            <w:r>
              <w:rPr>
                <w:sz w:val="16"/>
              </w:rPr>
              <w:t>POST</w:t>
            </w:r>
          </w:p>
        </w:tc>
        <w:tc>
          <w:tcPr>
            <w:tcW w:type="dxa" w:w="2520"/>
          </w:tcPr>
          <w:p>
            <w:r>
              <w:rPr>
                <w:sz w:val="16"/>
              </w:rPr>
              <w:t>/api/v1/campaigns</w:t>
            </w:r>
          </w:p>
        </w:tc>
        <w:tc>
          <w:tcPr>
            <w:tcW w:type="dxa" w:w="2520"/>
          </w:tcPr>
          <w:p>
            <w:r>
              <w:rPr>
                <w:sz w:val="16"/>
              </w:rPr>
              <w:t>Crear campaña y capacidad de citas</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/api/v1/campaigns</w:t>
            </w:r>
          </w:p>
        </w:tc>
        <w:tc>
          <w:tcPr>
            <w:tcW w:type="dxa" w:w="2520"/>
          </w:tcPr>
          <w:p>
            <w:r>
              <w:rPr>
                <w:sz w:val="16"/>
              </w:rPr>
              <w:t>Campañas institucionales vigentes</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/api/v1/appointments</w:t>
            </w:r>
          </w:p>
        </w:tc>
        <w:tc>
          <w:tcPr>
            <w:tcW w:type="dxa" w:w="2520"/>
          </w:tcPr>
          <w:p>
            <w:r>
              <w:rPr>
                <w:sz w:val="16"/>
              </w:rPr>
              <w:t>Reservar cita sin exceder capacidad</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/api/v1/appointments</w:t>
            </w:r>
          </w:p>
        </w:tc>
        <w:tc>
          <w:tcPr>
            <w:tcW w:type="dxa" w:w="2520"/>
          </w:tcPr>
          <w:p>
            <w:r>
              <w:rPr>
                <w:sz w:val="16"/>
              </w:rPr>
              <w:t>Citas propias o institucionales</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/api/v1/appointments/{identifier}/cancel</w:t>
            </w:r>
          </w:p>
        </w:tc>
        <w:tc>
          <w:tcPr>
            <w:tcW w:type="dxa" w:w="2520"/>
          </w:tcPr>
          <w:p>
            <w:r>
              <w:rPr>
                <w:sz w:val="16"/>
              </w:rPr>
              <w:t>Cancelar cita y liberar cupo</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/api/v1/donations</w:t>
            </w:r>
          </w:p>
        </w:tc>
        <w:tc>
          <w:tcPr>
            <w:tcW w:type="dxa" w:w="2520"/>
          </w:tcPr>
          <w:p>
            <w:r>
              <w:rPr>
                <w:sz w:val="16"/>
              </w:rPr>
              <w:t>Registrar donación tras elegibilidad y confirmación humana</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/api/v1/donations</w:t>
            </w:r>
          </w:p>
        </w:tc>
        <w:tc>
          <w:tcPr>
            <w:tcW w:type="dxa" w:w="2520"/>
          </w:tcPr>
          <w:p>
            <w:r>
              <w:rPr>
                <w:sz w:val="16"/>
              </w:rPr>
              <w:t>Donaciones de la institución sin expediente personal</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/api/v1/donations/{identifier}/steps</w:t>
            </w:r>
          </w:p>
        </w:tc>
        <w:tc>
          <w:tcPr>
            <w:tcW w:type="dxa" w:w="2520"/>
          </w:tcPr>
          <w:p>
            <w:r>
              <w:rPr>
                <w:sz w:val="16"/>
              </w:rPr>
              <w:t>Documentar procesamiento o rechazo; no infiere elegibilidad clínica</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/internal/v1/donations/{identifier}</w:t>
            </w:r>
          </w:p>
        </w:tc>
        <w:tc>
          <w:tcPr>
            <w:tcW w:type="dxa" w:w="2520"/>
          </w:tcPr>
          <w:p>
            <w:r>
              <w:rPr>
                <w:sz w:val="16"/>
              </w:rPr>
              <w:t>Referencia de procedencia; sin identidad ni estudios del donante</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/api/v1/donations/{identifier}</w:t>
            </w:r>
          </w:p>
        </w:tc>
        <w:tc>
          <w:tcPr>
            <w:tcW w:type="dxa" w:w="2520"/>
          </w:tcPr>
          <w:p>
            <w:r>
              <w:rPr>
                <w:sz w:val="16"/>
              </w:rPr>
              <w:t>Donación y pasos de procesamiento institucionales</w:t>
            </w:r>
          </w:p>
        </w:tc>
        <w:tc>
          <w:tcPr>
            <w:tcW w:type="dxa" w:w="2520"/>
          </w:tcPr>
          <w:p>
            <w:r>
              <w:rPr>
                <w:sz w:val="16"/>
              </w:rPr>
              <w:t>200, 400, 401, 403, 404, 406, 409, 413, 415, 422, 429, 500, 503</w:t>
            </w:r>
          </w:p>
        </w:tc>
      </w:tr>
      <w:tr>
        <w:tc>
          <w:tcPr>
            <w:tcW w:type="dxa" w:w="2520"/>
          </w:tcPr>
          <w:p>
            <w:r>
              <w:rPr>
                <w:sz w:val="16"/>
              </w:rPr>
              <w:t>PATCH</w:t>
            </w:r>
          </w:p>
        </w:tc>
        <w:tc>
          <w:tcPr>
            <w:tcW w:type="dxa" w:w="2520"/>
          </w:tcPr>
          <w:p>
            <w:r>
              <w:rPr>
                <w:sz w:val="16"/>
              </w:rPr>
              <w:t>/api/v1/donations/{identifier}</w:t>
            </w:r>
          </w:p>
        </w:tc>
        <w:tc>
          <w:tcPr>
            <w:tcW w:type="dxa" w:w="2520"/>
          </w:tcPr>
          <w:p>
            <w:r>
              <w:rPr>
                <w:sz w:val="16"/>
              </w:rPr>
              <w:t>Corregir fecha antes de procesamiento, conservando motivo</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/api/v1/summary</w:t>
            </w:r>
          </w:p>
        </w:tc>
        <w:tc>
          <w:tcPr>
            <w:tcW w:type="dxa" w:w="2520"/>
          </w:tcPr>
          <w:p>
            <w:r>
              <w:rPr>
                <w:sz w:val="16"/>
              </w:rPr>
              <w:t>Indicadores agregados autorizados; no expone expedientes</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/api/v1/campaigns/{identifier}</w:t>
            </w:r>
          </w:p>
        </w:tc>
        <w:tc>
          <w:tcPr>
            <w:tcW w:type="dxa" w:w="2520"/>
          </w:tcPr>
          <w:p>
            <w:r>
              <w:rPr>
                <w:sz w:val="16"/>
              </w:rPr>
              <w:t>Detalle de campaña institucional</w:t>
            </w:r>
          </w:p>
        </w:tc>
        <w:tc>
          <w:tcPr>
            <w:tcW w:type="dxa" w:w="2520"/>
          </w:tcPr>
          <w:p>
            <w:r>
              <w:rPr>
                <w:sz w:val="16"/>
              </w:rPr>
              <w:t>200, 400, 401, 403, 404, 406, 409, 413, 415, 422, 429, 500, 503</w:t>
            </w:r>
          </w:p>
        </w:tc>
      </w:tr>
      <w:tr>
        <w:tc>
          <w:tcPr>
            <w:tcW w:type="dxa" w:w="2520"/>
          </w:tcPr>
          <w:p>
            <w:r>
              <w:rPr>
                <w:sz w:val="16"/>
              </w:rPr>
              <w:t>PATCH</w:t>
            </w:r>
          </w:p>
        </w:tc>
        <w:tc>
          <w:tcPr>
            <w:tcW w:type="dxa" w:w="2520"/>
          </w:tcPr>
          <w:p>
            <w:r>
              <w:rPr>
                <w:sz w:val="16"/>
              </w:rPr>
              <w:t>/api/v1/campaigns/{identifier}</w:t>
            </w:r>
          </w:p>
        </w:tc>
        <w:tc>
          <w:tcPr>
            <w:tcW w:type="dxa" w:w="2520"/>
          </w:tcPr>
          <w:p>
            <w:r>
              <w:rPr>
                <w:sz w:val="16"/>
              </w:rPr>
              <w:t>Editar campaña sin reducir cupos ya ocupados</w:t>
            </w:r>
          </w:p>
        </w:tc>
        <w:tc>
          <w:tcPr>
            <w:tcW w:type="dxa" w:w="2520"/>
          </w:tcPr>
          <w:p>
            <w:r>
              <w:rPr>
                <w:sz w:val="16"/>
              </w:rPr>
              <w:t>200, 400, 401, 403, 404, 406, 409, 413, 415, 422, 429, 500, 503</w:t>
            </w:r>
          </w:p>
        </w:tc>
      </w:tr>
    </w:tbl>
    <w:p/>
    <w:p>
      <w:r>
        <w:t>Entradas y salidas: encabezados Authorization, Accept, Content-Type, X-Correlation-ID y Idempotency-Key según operación. Parámetros de ruta UUID y consulta/paginación constan en OpenAPI. Respuesta {data,meta} o {error,meta}, con representación XML equivalente. El contrato interno añade encabezados de firma del servicio; los valores secretos están redactados en evidencia.</w:t>
      </w:r>
    </w:p>
    <w:p>
      <w:r>
        <w:t>Pruebas: suite de apps/services/tests, expediente dinámico por método/ruta y pruebas Docker de negocio. Consultar RESULTADOS.md para resultados reales y limitaciones; no se considera probado un endpoint solo por aparecer en esta tabla.</w:t>
      </w:r>
    </w:p>
    <w:p>
      <w:pPr>
        <w:pStyle w:val="Heading2"/>
      </w:pPr>
      <w:r>
        <w:t>Receptores y solicitudes</w:t>
      </w:r>
    </w:p>
    <w:p>
      <w:r>
        <w:t>Administra expedientes de receptores y el ciclo de vida y cobertura de solicitudes.</w:t>
      </w:r>
    </w:p>
    <w:p>
      <w:r>
        <w:t>Justificación y proceso: Una solicitud de una unidad retiene un cupo antes de que Inventario reserve el recurso. Dos peticiones concurrentes no pueden cubrir dos veces ese cupo.</w:t>
      </w:r>
    </w:p>
    <w:p>
      <w:r>
        <w:t>Integración declarada: puede invocar contratos internos de alertas, auditoria; acepta llamadas firmadas de compatibilidad, inventario. Estas relaciones incluyen entrega de eventos. Monitoreo consulta además la salud pública de todos los componentes. Cada ruta conserva su lista específica de consumidores y delegación en OpenAPI.</w:t>
      </w:r>
    </w:p>
    <w:p>
      <w:r>
        <w:t>Persistencia y relaciones: PostgreSQL conserva receptores, solicitudes y retenciones de capacidad; Redis valida sesión y permisos. Auditoría/alertas reciben eventos durables.</w:t>
      </w:r>
    </w:p>
    <w:p>
      <w:r>
        <w:t>Ámbito SQL: access_receptores. La correspondencia siguiente procede del SQL de instalación. Las tablas técnicas service_* filtran el propietario; las claves y relaciones completas constan en el catálogo físico.</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rPr>
                <w:sz w:val="16"/>
              </w:rPr>
              <w:t>Vista autorizada</w:t>
            </w:r>
          </w:p>
        </w:tc>
        <w:tc>
          <w:tcPr>
            <w:tcW w:type="dxa" w:w="5040"/>
          </w:tcPr>
          <w:p>
            <w:r>
              <w:rPr>
                <w:sz w:val="16"/>
              </w:rPr>
              <w:t>Tabla física compartida</w:t>
            </w:r>
          </w:p>
        </w:tc>
      </w:tr>
      <w:tr>
        <w:tc>
          <w:tcPr>
            <w:tcW w:type="dxa" w:w="5040"/>
          </w:tcPr>
          <w:p>
            <w:r>
              <w:rPr>
                <w:sz w:val="16"/>
              </w:rPr>
              <w:t>activity_events</w:t>
            </w:r>
          </w:p>
        </w:tc>
        <w:tc>
          <w:tcPr>
            <w:tcW w:type="dxa" w:w="5040"/>
          </w:tcPr>
          <w:p>
            <w:r>
              <w:rPr>
                <w:sz w:val="16"/>
              </w:rPr>
              <w:t>red_house.service_activity_events</w:t>
            </w:r>
          </w:p>
        </w:tc>
      </w:tr>
      <w:tr>
        <w:tc>
          <w:tcPr>
            <w:tcW w:type="dxa" w:w="5040"/>
          </w:tcPr>
          <w:p>
            <w:r>
              <w:rPr>
                <w:sz w:val="16"/>
              </w:rPr>
              <w:t>decisions</w:t>
            </w:r>
          </w:p>
        </w:tc>
        <w:tc>
          <w:tcPr>
            <w:tcW w:type="dxa" w:w="5040"/>
          </w:tcPr>
          <w:p>
            <w:r>
              <w:rPr>
                <w:sz w:val="16"/>
              </w:rPr>
              <w:t>red_house.service_decisions</w:t>
            </w:r>
          </w:p>
        </w:tc>
      </w:tr>
      <w:tr>
        <w:tc>
          <w:tcPr>
            <w:tcW w:type="dxa" w:w="5040"/>
          </w:tcPr>
          <w:p>
            <w:r>
              <w:rPr>
                <w:sz w:val="16"/>
              </w:rPr>
              <w:t>holds</w:t>
            </w:r>
          </w:p>
        </w:tc>
        <w:tc>
          <w:tcPr>
            <w:tcW w:type="dxa" w:w="5040"/>
          </w:tcPr>
          <w:p>
            <w:r>
              <w:rPr>
                <w:sz w:val="16"/>
              </w:rPr>
              <w:t>red_house.request_hold</w:t>
            </w:r>
          </w:p>
        </w:tc>
      </w:tr>
      <w:tr>
        <w:tc>
          <w:tcPr>
            <w:tcW w:type="dxa" w:w="5040"/>
          </w:tcPr>
          <w:p>
            <w:r>
              <w:rPr>
                <w:sz w:val="16"/>
              </w:rPr>
              <w:t>idempotency</w:t>
            </w:r>
          </w:p>
        </w:tc>
        <w:tc>
          <w:tcPr>
            <w:tcW w:type="dxa" w:w="5040"/>
          </w:tcPr>
          <w:p>
            <w:r>
              <w:rPr>
                <w:sz w:val="16"/>
              </w:rPr>
              <w:t>red_house.service_idempotency</w:t>
            </w:r>
          </w:p>
        </w:tc>
      </w:tr>
      <w:tr>
        <w:tc>
          <w:tcPr>
            <w:tcW w:type="dxa" w:w="5040"/>
          </w:tcPr>
          <w:p>
            <w:r>
              <w:rPr>
                <w:sz w:val="16"/>
              </w:rPr>
              <w:t>inbox</w:t>
            </w:r>
          </w:p>
        </w:tc>
        <w:tc>
          <w:tcPr>
            <w:tcW w:type="dxa" w:w="5040"/>
          </w:tcPr>
          <w:p>
            <w:r>
              <w:rPr>
                <w:sz w:val="16"/>
              </w:rPr>
              <w:t>red_house.service_inbox</w:t>
            </w:r>
          </w:p>
        </w:tc>
      </w:tr>
      <w:tr>
        <w:tc>
          <w:tcPr>
            <w:tcW w:type="dxa" w:w="5040"/>
          </w:tcPr>
          <w:p>
            <w:r>
              <w:rPr>
                <w:sz w:val="16"/>
              </w:rPr>
              <w:t>outbox</w:t>
            </w:r>
          </w:p>
        </w:tc>
        <w:tc>
          <w:tcPr>
            <w:tcW w:type="dxa" w:w="5040"/>
          </w:tcPr>
          <w:p>
            <w:r>
              <w:rPr>
                <w:sz w:val="16"/>
              </w:rPr>
              <w:t>red_house.service_outbox</w:t>
            </w:r>
          </w:p>
        </w:tc>
      </w:tr>
      <w:tr>
        <w:tc>
          <w:tcPr>
            <w:tcW w:type="dxa" w:w="5040"/>
          </w:tcPr>
          <w:p>
            <w:r>
              <w:rPr>
                <w:sz w:val="16"/>
              </w:rPr>
              <w:t>recipients</w:t>
            </w:r>
          </w:p>
        </w:tc>
        <w:tc>
          <w:tcPr>
            <w:tcW w:type="dxa" w:w="5040"/>
          </w:tcPr>
          <w:p>
            <w:r>
              <w:rPr>
                <w:sz w:val="16"/>
              </w:rPr>
              <w:t>red_house.recipient</w:t>
            </w:r>
          </w:p>
        </w:tc>
      </w:tr>
      <w:tr>
        <w:tc>
          <w:tcPr>
            <w:tcW w:type="dxa" w:w="5040"/>
          </w:tcPr>
          <w:p>
            <w:r>
              <w:rPr>
                <w:sz w:val="16"/>
              </w:rPr>
              <w:t>requests</w:t>
            </w:r>
          </w:p>
        </w:tc>
        <w:tc>
          <w:tcPr>
            <w:tcW w:type="dxa" w:w="5040"/>
          </w:tcPr>
          <w:p>
            <w:r>
              <w:rPr>
                <w:sz w:val="16"/>
              </w:rPr>
              <w:t>red_house.blood_request</w:t>
            </w:r>
          </w:p>
        </w:tc>
      </w:tr>
      <w:tr>
        <w:tc>
          <w:tcPr>
            <w:tcW w:type="dxa" w:w="5040"/>
          </w:tcPr>
          <w:p>
            <w:r>
              <w:rPr>
                <w:sz w:val="16"/>
              </w:rPr>
              <w:t>schema_version</w:t>
            </w:r>
          </w:p>
        </w:tc>
        <w:tc>
          <w:tcPr>
            <w:tcW w:type="dxa" w:w="5040"/>
          </w:tcPr>
          <w:p>
            <w:r>
              <w:rPr>
                <w:sz w:val="16"/>
              </w:rPr>
              <w:t>red_house.service_schema_version</w:t>
            </w:r>
          </w:p>
        </w:tc>
      </w:tr>
      <w:tr>
        <w:tc>
          <w:tcPr>
            <w:tcW w:type="dxa" w:w="5040"/>
          </w:tcPr>
          <w:p>
            <w:r>
              <w:rPr>
                <w:sz w:val="16"/>
              </w:rPr>
              <w:t>worker_health</w:t>
            </w:r>
          </w:p>
        </w:tc>
        <w:tc>
          <w:tcPr>
            <w:tcW w:type="dxa" w:w="5040"/>
          </w:tcPr>
          <w:p>
            <w:r>
              <w:rPr>
                <w:sz w:val="16"/>
              </w:rPr>
              <w:t>red_house.service_worker_health</w:t>
            </w:r>
          </w:p>
        </w:tc>
      </w:tr>
    </w:tbl>
    <w:p/>
    <w:p>
      <w:r>
        <w:t>Despliegue: Dockerfile, dos instancias receptores-a/b, gateway http://127.0.0.1:6103 y Swagger /docs/. Configuración privada propia: DATABASE_URL, REDIS_URL, claves públicas JWT y de servicios, clave privada de firma interna y URLs del gateway. Solo Identidad conserva la clave privada JWT. Transporte añade configuración GCS; los cuatro propietarios documentales añaden MongoDB.</w:t>
      </w:r>
    </w:p>
    <w:p>
      <w:r>
        <w:t>Seguridad: JWT RS256 con Redis en cada operación protegida; rol y recurso según contrato. Rutas internas exigen firma, nonce y autoridad llamante. POST/PATCH de negocio conservan Idempotency-Key donde está declarado, versión y motivo cuando corresponde. GET autorizado genera auditoría; las transacciones publican eventos por outbox.</w:t>
      </w:r>
    </w:p>
    <w:p>
      <w:r>
        <w:t>Contratos: OpenAPI completo · Directorio JSON/XML/XSD · Ejecuciones HTTP.</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rPr>
                <w:sz w:val="16"/>
              </w:rPr>
              <w:t>Método</w:t>
            </w:r>
          </w:p>
        </w:tc>
        <w:tc>
          <w:tcPr>
            <w:tcW w:type="dxa" w:w="2520"/>
          </w:tcPr>
          <w:p>
            <w:r>
              <w:rPr>
                <w:sz w:val="16"/>
              </w:rPr>
              <w:t>Ruta</w:t>
            </w:r>
          </w:p>
        </w:tc>
        <w:tc>
          <w:tcPr>
            <w:tcW w:type="dxa" w:w="2520"/>
          </w:tcPr>
          <w:p>
            <w:r>
              <w:rPr>
                <w:sz w:val="16"/>
              </w:rPr>
              <w:t>Objetivo</w:t>
            </w:r>
          </w:p>
        </w:tc>
        <w:tc>
          <w:tcPr>
            <w:tcW w:type="dxa" w:w="2520"/>
          </w:tcPr>
          <w:p>
            <w:r>
              <w:rPr>
                <w:sz w:val="16"/>
              </w:rPr>
              <w:t>Códigos declarados</w:t>
            </w:r>
          </w:p>
        </w:tc>
      </w:tr>
      <w:tr>
        <w:tc>
          <w:tcPr>
            <w:tcW w:type="dxa" w:w="2520"/>
          </w:tcPr>
          <w:p>
            <w:r>
              <w:rPr>
                <w:sz w:val="16"/>
              </w:rPr>
              <w:t>POST</w:t>
            </w:r>
          </w:p>
        </w:tc>
        <w:tc>
          <w:tcPr>
            <w:tcW w:type="dxa" w:w="2520"/>
          </w:tcPr>
          <w:p>
            <w:r>
              <w:rPr>
                <w:sz w:val="16"/>
              </w:rPr>
              <w:t>/api/v1/recipients</w:t>
            </w:r>
          </w:p>
        </w:tc>
        <w:tc>
          <w:tcPr>
            <w:tcW w:type="dxa" w:w="2520"/>
          </w:tcPr>
          <w:p>
            <w:r>
              <w:rPr>
                <w:sz w:val="16"/>
              </w:rPr>
              <w:t>Expediente diferenciado de sangre u órgano</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/api/v1/recipients</w:t>
            </w:r>
          </w:p>
        </w:tc>
        <w:tc>
          <w:tcPr>
            <w:tcW w:type="dxa" w:w="2520"/>
          </w:tcPr>
          <w:p>
            <w:r>
              <w:rPr>
                <w:sz w:val="16"/>
              </w:rPr>
              <w:t>Expedientes de la propia institución</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/api/v1/recipients/{identifier}</w:t>
            </w:r>
          </w:p>
        </w:tc>
        <w:tc>
          <w:tcPr>
            <w:tcW w:type="dxa" w:w="2520"/>
          </w:tcPr>
          <w:p>
            <w:r>
              <w:rPr>
                <w:sz w:val="16"/>
              </w:rPr>
              <w:t>Consultar expediente clínico autorizado</w:t>
            </w:r>
          </w:p>
        </w:tc>
        <w:tc>
          <w:tcPr>
            <w:tcW w:type="dxa" w:w="2520"/>
          </w:tcPr>
          <w:p>
            <w:r>
              <w:rPr>
                <w:sz w:val="16"/>
              </w:rPr>
              <w:t>200, 400, 401, 403, 404, 406, 409, 413, 415, 422, 429, 500, 503</w:t>
            </w:r>
          </w:p>
        </w:tc>
      </w:tr>
      <w:tr>
        <w:tc>
          <w:tcPr>
            <w:tcW w:type="dxa" w:w="2520"/>
          </w:tcPr>
          <w:p>
            <w:r>
              <w:rPr>
                <w:sz w:val="16"/>
              </w:rPr>
              <w:t>PATCH</w:t>
            </w:r>
          </w:p>
        </w:tc>
        <w:tc>
          <w:tcPr>
            <w:tcW w:type="dxa" w:w="2520"/>
          </w:tcPr>
          <w:p>
            <w:r>
              <w:rPr>
                <w:sz w:val="16"/>
              </w:rPr>
              <w:t>/api/v1/recipients/{identifier}</w:t>
            </w:r>
          </w:p>
        </w:tc>
        <w:tc>
          <w:tcPr>
            <w:tcW w:type="dxa" w:w="2520"/>
          </w:tcPr>
          <w:p>
            <w:r>
              <w:rPr>
                <w:sz w:val="16"/>
              </w:rPr>
              <w:t>Corregir receptor antes de registrar solicitudes</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/api/v1/requests</w:t>
            </w:r>
          </w:p>
        </w:tc>
        <w:tc>
          <w:tcPr>
            <w:tcW w:type="dxa" w:w="2520"/>
          </w:tcPr>
          <w:p>
            <w:r>
              <w:rPr>
                <w:sz w:val="16"/>
              </w:rPr>
              <w:t>Solicitud humana de recursos</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/api/v1/requests</w:t>
            </w:r>
          </w:p>
        </w:tc>
        <w:tc>
          <w:tcPr>
            <w:tcW w:type="dxa" w:w="2520"/>
          </w:tcPr>
          <w:p>
            <w:r>
              <w:rPr>
                <w:sz w:val="16"/>
              </w:rPr>
              <w:t>Solicitudes institucionales y cobertura</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/api/v1/requests/{identifier}</w:t>
            </w:r>
          </w:p>
        </w:tc>
        <w:tc>
          <w:tcPr>
            <w:tcW w:type="dxa" w:w="2520"/>
          </w:tcPr>
          <w:p>
            <w:r>
              <w:rPr>
                <w:sz w:val="16"/>
              </w:rPr>
              <w:t>Solicitud y reservas pendientes/confirmadas</w:t>
            </w:r>
          </w:p>
        </w:tc>
        <w:tc>
          <w:tcPr>
            <w:tcW w:type="dxa" w:w="2520"/>
          </w:tcPr>
          <w:p>
            <w:r>
              <w:rPr>
                <w:sz w:val="16"/>
              </w:rPr>
              <w:t>200, 400, 401, 403, 404, 406, 409, 413, 415, 422, 429, 500, 503</w:t>
            </w:r>
          </w:p>
        </w:tc>
      </w:tr>
      <w:tr>
        <w:tc>
          <w:tcPr>
            <w:tcW w:type="dxa" w:w="2520"/>
          </w:tcPr>
          <w:p>
            <w:r>
              <w:rPr>
                <w:sz w:val="16"/>
              </w:rPr>
              <w:t>PATCH</w:t>
            </w:r>
          </w:p>
        </w:tc>
        <w:tc>
          <w:tcPr>
            <w:tcW w:type="dxa" w:w="2520"/>
          </w:tcPr>
          <w:p>
            <w:r>
              <w:rPr>
                <w:sz w:val="16"/>
              </w:rPr>
              <w:t>/api/v1/requests/{identifier}</w:t>
            </w:r>
          </w:p>
        </w:tc>
        <w:tc>
          <w:tcPr>
            <w:tcW w:type="dxa" w:w="2520"/>
          </w:tcPr>
          <w:p>
            <w:r>
              <w:rPr>
                <w:sz w:val="16"/>
              </w:rPr>
              <w:t>Editar solicitud abierta sin retenciones, invalidando evaluaciones anteriores</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/api/v1/requests/{identifier}/cancel</w:t>
            </w:r>
          </w:p>
        </w:tc>
        <w:tc>
          <w:tcPr>
            <w:tcW w:type="dxa" w:w="2520"/>
          </w:tcPr>
          <w:p>
            <w:r>
              <w:rPr>
                <w:sz w:val="16"/>
              </w:rPr>
              <w:t>Cancelar únicamente sin reservas pendientes o físicas</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/internal/v1/requests/{identifier}</w:t>
            </w:r>
          </w:p>
        </w:tc>
        <w:tc>
          <w:tcPr>
            <w:tcW w:type="dxa" w:w="2520"/>
          </w:tcPr>
          <w:p>
            <w:r>
              <w:rPr>
                <w:sz w:val="16"/>
              </w:rPr>
              <w:t>Instantánea mínima para compatibilidad y reserva</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/internal/v1/holds</w:t>
            </w:r>
          </w:p>
        </w:tc>
        <w:tc>
          <w:tcPr>
            <w:tcW w:type="dxa" w:w="2520"/>
          </w:tcPr>
          <w:p>
            <w:r>
              <w:rPr>
                <w:sz w:val="16"/>
              </w:rPr>
              <w:t>Retener capacidad; serializar solicitud y receptor</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/internal/v1/holds/{identifier}</w:t>
            </w:r>
          </w:p>
        </w:tc>
        <w:tc>
          <w:tcPr>
            <w:tcW w:type="dxa" w:w="2520"/>
          </w:tcPr>
          <w:p>
            <w:r>
              <w:rPr>
                <w:sz w:val="16"/>
              </w:rPr>
              <w:t>Confirmar, liberar o recibir retención de forma idempotente</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/internal/v1/holds-by-operation/{identifier}</w:t>
            </w:r>
          </w:p>
        </w:tc>
        <w:tc>
          <w:tcPr>
            <w:tcW w:type="dxa" w:w="2520"/>
          </w:tcPr>
          <w:p>
            <w:r>
              <w:rPr>
                <w:sz w:val="16"/>
              </w:rPr>
              <w:t>Localizar retención tras perder una respuesta</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/internal/v1/events</w:t>
            </w:r>
          </w:p>
        </w:tc>
        <w:tc>
          <w:tcPr>
            <w:tcW w:type="dxa" w:w="2520"/>
          </w:tcPr>
          <w:p>
            <w:r>
              <w:rPr>
                <w:sz w:val="16"/>
              </w:rPr>
              <w:t>Recibir recepción o liberación sin duplicados</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/api/v1/summary</w:t>
            </w:r>
          </w:p>
        </w:tc>
        <w:tc>
          <w:tcPr>
            <w:tcW w:type="dxa" w:w="2520"/>
          </w:tcPr>
          <w:p>
            <w:r>
              <w:rPr>
                <w:sz w:val="16"/>
              </w:rPr>
              <w:t>Indicadores agregados autorizados; no expone expedientes</w:t>
            </w:r>
          </w:p>
        </w:tc>
        <w:tc>
          <w:tcPr>
            <w:tcW w:type="dxa" w:w="2520"/>
          </w:tcPr>
          <w:p>
            <w:r>
              <w:rPr>
                <w:sz w:val="16"/>
              </w:rPr>
              <w:t>200, 400, 401, 403, 404, 406, 409, 413, 415, 422, 429, 500, 503</w:t>
            </w:r>
          </w:p>
        </w:tc>
      </w:tr>
    </w:tbl>
    <w:p/>
    <w:p>
      <w:r>
        <w:t>Entradas y salidas: encabezados Authorization, Accept, Content-Type, X-Correlation-ID y Idempotency-Key según operación. Parámetros de ruta UUID y consulta/paginación constan en OpenAPI. Respuesta {data,meta} o {error,meta}, con representación XML equivalente. El contrato interno añade encabezados de firma del servicio; los valores secretos están redactados en evidencia.</w:t>
      </w:r>
    </w:p>
    <w:p>
      <w:r>
        <w:t>Pruebas: suite de apps/services/tests, expediente dinámico por método/ruta y pruebas Docker de negocio. Consultar RESULTADOS.md para resultados reales y limitaciones; no se considera probado un endpoint solo por aparecer en esta tabla.</w:t>
      </w:r>
    </w:p>
    <w:p>
      <w:pPr>
        <w:pStyle w:val="Heading2"/>
      </w:pPr>
      <w:r>
        <w:t>Inventario y reservas</w:t>
      </w:r>
    </w:p>
    <w:p>
      <w:r>
        <w:t>Mantiene unidades de sangre y ofertas de órganos, su disponibilidad, reservas y ubicación institucional.</w:t>
      </w:r>
    </w:p>
    <w:p>
      <w:r>
        <w:t>Justificación y proceso: El origen registra y libera un recurso; el destino lo reserva con evaluación y dictamen favorable; tras recepción queda registrado en la institución de destino.</w:t>
      </w:r>
    </w:p>
    <w:p>
      <w:r>
        <w:t>Integración declarada: puede invocar contratos internos de alertas, auditoria, compatibilidad, donantes, identidad_acceso, priorizacion_geografia, receptores; acepta llamadas firmadas de compatibilidad, transporte. Estas relaciones incluyen entrega de eventos. Monitoreo consulta además la salud pública de todos los componentes. Cada ruta conserva su lista específica de consumidores y delegación en OpenAPI.</w:t>
      </w:r>
    </w:p>
    <w:p>
      <w:r>
        <w:t>Persistencia y relaciones: PostgreSQL es autoridad de recursos, movimientos y operaciones. Redis ofrece caché breve de disponibilidad y seguridad; una reserva siempre reconsulta PostgreSQL.</w:t>
      </w:r>
    </w:p>
    <w:p>
      <w:r>
        <w:t>Ámbito SQL: access_inventario. La correspondencia siguiente procede del SQL de instalación. Las tablas técnicas service_* filtran el propietario; las claves y relaciones completas constan en el catálogo físico.</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rPr>
                <w:sz w:val="16"/>
              </w:rPr>
              <w:t>Vista autorizada</w:t>
            </w:r>
          </w:p>
        </w:tc>
        <w:tc>
          <w:tcPr>
            <w:tcW w:type="dxa" w:w="5040"/>
          </w:tcPr>
          <w:p>
            <w:r>
              <w:rPr>
                <w:sz w:val="16"/>
              </w:rPr>
              <w:t>Tabla física compartida</w:t>
            </w:r>
          </w:p>
        </w:tc>
      </w:tr>
      <w:tr>
        <w:tc>
          <w:tcPr>
            <w:tcW w:type="dxa" w:w="5040"/>
          </w:tcPr>
          <w:p>
            <w:r>
              <w:rPr>
                <w:sz w:val="16"/>
              </w:rPr>
              <w:t>activity_events</w:t>
            </w:r>
          </w:p>
        </w:tc>
        <w:tc>
          <w:tcPr>
            <w:tcW w:type="dxa" w:w="5040"/>
          </w:tcPr>
          <w:p>
            <w:r>
              <w:rPr>
                <w:sz w:val="16"/>
              </w:rPr>
              <w:t>red_house.service_activity_events</w:t>
            </w:r>
          </w:p>
        </w:tc>
      </w:tr>
      <w:tr>
        <w:tc>
          <w:tcPr>
            <w:tcW w:type="dxa" w:w="5040"/>
          </w:tcPr>
          <w:p>
            <w:r>
              <w:rPr>
                <w:sz w:val="16"/>
              </w:rPr>
              <w:t>cache_revision</w:t>
            </w:r>
          </w:p>
        </w:tc>
        <w:tc>
          <w:tcPr>
            <w:tcW w:type="dxa" w:w="5040"/>
          </w:tcPr>
          <w:p>
            <w:r>
              <w:rPr>
                <w:sz w:val="16"/>
              </w:rPr>
              <w:t>red_house.cache_revision</w:t>
            </w:r>
          </w:p>
        </w:tc>
      </w:tr>
      <w:tr>
        <w:tc>
          <w:tcPr>
            <w:tcW w:type="dxa" w:w="5040"/>
          </w:tcPr>
          <w:p>
            <w:r>
              <w:rPr>
                <w:sz w:val="16"/>
              </w:rPr>
              <w:t>decisions</w:t>
            </w:r>
          </w:p>
        </w:tc>
        <w:tc>
          <w:tcPr>
            <w:tcW w:type="dxa" w:w="5040"/>
          </w:tcPr>
          <w:p>
            <w:r>
              <w:rPr>
                <w:sz w:val="16"/>
              </w:rPr>
              <w:t>red_house.service_decisions</w:t>
            </w:r>
          </w:p>
        </w:tc>
      </w:tr>
      <w:tr>
        <w:tc>
          <w:tcPr>
            <w:tcW w:type="dxa" w:w="5040"/>
          </w:tcPr>
          <w:p>
            <w:r>
              <w:rPr>
                <w:sz w:val="16"/>
              </w:rPr>
              <w:t>idempotency</w:t>
            </w:r>
          </w:p>
        </w:tc>
        <w:tc>
          <w:tcPr>
            <w:tcW w:type="dxa" w:w="5040"/>
          </w:tcPr>
          <w:p>
            <w:r>
              <w:rPr>
                <w:sz w:val="16"/>
              </w:rPr>
              <w:t>red_house.service_idempotency</w:t>
            </w:r>
          </w:p>
        </w:tc>
      </w:tr>
      <w:tr>
        <w:tc>
          <w:tcPr>
            <w:tcW w:type="dxa" w:w="5040"/>
          </w:tcPr>
          <w:p>
            <w:r>
              <w:rPr>
                <w:sz w:val="16"/>
              </w:rPr>
              <w:t>inbox</w:t>
            </w:r>
          </w:p>
        </w:tc>
        <w:tc>
          <w:tcPr>
            <w:tcW w:type="dxa" w:w="5040"/>
          </w:tcPr>
          <w:p>
            <w:r>
              <w:rPr>
                <w:sz w:val="16"/>
              </w:rPr>
              <w:t>red_house.service_inbox</w:t>
            </w:r>
          </w:p>
        </w:tc>
      </w:tr>
      <w:tr>
        <w:tc>
          <w:tcPr>
            <w:tcW w:type="dxa" w:w="5040"/>
          </w:tcPr>
          <w:p>
            <w:r>
              <w:rPr>
                <w:sz w:val="16"/>
              </w:rPr>
              <w:t>movements</w:t>
            </w:r>
          </w:p>
        </w:tc>
        <w:tc>
          <w:tcPr>
            <w:tcW w:type="dxa" w:w="5040"/>
          </w:tcPr>
          <w:p>
            <w:r>
              <w:rPr>
                <w:sz w:val="16"/>
              </w:rPr>
              <w:t>red_house.blood_movement</w:t>
            </w:r>
          </w:p>
        </w:tc>
      </w:tr>
      <w:tr>
        <w:tc>
          <w:tcPr>
            <w:tcW w:type="dxa" w:w="5040"/>
          </w:tcPr>
          <w:p>
            <w:r>
              <w:rPr>
                <w:sz w:val="16"/>
              </w:rPr>
              <w:t>operations</w:t>
            </w:r>
          </w:p>
        </w:tc>
        <w:tc>
          <w:tcPr>
            <w:tcW w:type="dxa" w:w="5040"/>
          </w:tcPr>
          <w:p>
            <w:r>
              <w:rPr>
                <w:sz w:val="16"/>
              </w:rPr>
              <w:t>red_house.allocation_operation</w:t>
            </w:r>
          </w:p>
        </w:tc>
      </w:tr>
      <w:tr>
        <w:tc>
          <w:tcPr>
            <w:tcW w:type="dxa" w:w="5040"/>
          </w:tcPr>
          <w:p>
            <w:r>
              <w:rPr>
                <w:sz w:val="16"/>
              </w:rPr>
              <w:t>outbox</w:t>
            </w:r>
          </w:p>
        </w:tc>
        <w:tc>
          <w:tcPr>
            <w:tcW w:type="dxa" w:w="5040"/>
          </w:tcPr>
          <w:p>
            <w:r>
              <w:rPr>
                <w:sz w:val="16"/>
              </w:rPr>
              <w:t>red_house.service_outbox</w:t>
            </w:r>
          </w:p>
        </w:tc>
      </w:tr>
      <w:tr>
        <w:tc>
          <w:tcPr>
            <w:tcW w:type="dxa" w:w="5040"/>
          </w:tcPr>
          <w:p>
            <w:r>
              <w:rPr>
                <w:sz w:val="16"/>
              </w:rPr>
              <w:t>reservations</w:t>
            </w:r>
          </w:p>
        </w:tc>
        <w:tc>
          <w:tcPr>
            <w:tcW w:type="dxa" w:w="5040"/>
          </w:tcPr>
          <w:p>
            <w:r>
              <w:rPr>
                <w:sz w:val="16"/>
              </w:rPr>
              <w:t>red_house.blood_allocation</w:t>
            </w:r>
          </w:p>
        </w:tc>
      </w:tr>
      <w:tr>
        <w:tc>
          <w:tcPr>
            <w:tcW w:type="dxa" w:w="5040"/>
          </w:tcPr>
          <w:p>
            <w:r>
              <w:rPr>
                <w:sz w:val="16"/>
              </w:rPr>
              <w:t>resource_reviews</w:t>
            </w:r>
          </w:p>
        </w:tc>
        <w:tc>
          <w:tcPr>
            <w:tcW w:type="dxa" w:w="5040"/>
          </w:tcPr>
          <w:p>
            <w:r>
              <w:rPr>
                <w:sz w:val="16"/>
              </w:rPr>
              <w:t>red_house.resource_review</w:t>
            </w:r>
          </w:p>
        </w:tc>
      </w:tr>
      <w:tr>
        <w:tc>
          <w:tcPr>
            <w:tcW w:type="dxa" w:w="5040"/>
          </w:tcPr>
          <w:p>
            <w:r>
              <w:rPr>
                <w:sz w:val="16"/>
              </w:rPr>
              <w:t>resources</w:t>
            </w:r>
          </w:p>
        </w:tc>
        <w:tc>
          <w:tcPr>
            <w:tcW w:type="dxa" w:w="5040"/>
          </w:tcPr>
          <w:p>
            <w:r>
              <w:rPr>
                <w:sz w:val="16"/>
              </w:rPr>
              <w:t>red_house.resource</w:t>
            </w:r>
          </w:p>
        </w:tc>
      </w:tr>
      <w:tr>
        <w:tc>
          <w:tcPr>
            <w:tcW w:type="dxa" w:w="5040"/>
          </w:tcPr>
          <w:p>
            <w:r>
              <w:rPr>
                <w:sz w:val="16"/>
              </w:rPr>
              <w:t>schema_version</w:t>
            </w:r>
          </w:p>
        </w:tc>
        <w:tc>
          <w:tcPr>
            <w:tcW w:type="dxa" w:w="5040"/>
          </w:tcPr>
          <w:p>
            <w:r>
              <w:rPr>
                <w:sz w:val="16"/>
              </w:rPr>
              <w:t>red_house.service_schema_version</w:t>
            </w:r>
          </w:p>
        </w:tc>
      </w:tr>
      <w:tr>
        <w:tc>
          <w:tcPr>
            <w:tcW w:type="dxa" w:w="5040"/>
          </w:tcPr>
          <w:p>
            <w:r>
              <w:rPr>
                <w:sz w:val="16"/>
              </w:rPr>
              <w:t>worker_health</w:t>
            </w:r>
          </w:p>
        </w:tc>
        <w:tc>
          <w:tcPr>
            <w:tcW w:type="dxa" w:w="5040"/>
          </w:tcPr>
          <w:p>
            <w:r>
              <w:rPr>
                <w:sz w:val="16"/>
              </w:rPr>
              <w:t>red_house.service_worker_health</w:t>
            </w:r>
          </w:p>
        </w:tc>
      </w:tr>
    </w:tbl>
    <w:p/>
    <w:p>
      <w:r>
        <w:t>Despliegue: Dockerfile, dos instancias inventario-a/b, gateway http://127.0.0.1:6104 y Swagger /docs/. Configuración privada propia: DATABASE_URL, REDIS_URL, claves públicas JWT y de servicios, clave privada de firma interna y URLs del gateway. Solo Identidad conserva la clave privada JWT. Transporte añade configuración GCS; los cuatro propietarios documentales añaden MongoDB.</w:t>
      </w:r>
    </w:p>
    <w:p>
      <w:r>
        <w:t>Seguridad: JWT RS256 con Redis en cada operación protegida; rol y recurso según contrato. Rutas internas exigen firma, nonce y autoridad llamante. POST/PATCH de negocio conservan Idempotency-Key donde está declarado, versión y motivo cuando corresponde. GET autorizado genera auditoría; las transacciones publican eventos por outbox.</w:t>
      </w:r>
    </w:p>
    <w:p>
      <w:r>
        <w:t>Contratos: OpenAPI completo · Directorio JSON/XML/XSD · Ejecuciones HTTP.</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rPr>
                <w:sz w:val="16"/>
              </w:rPr>
              <w:t>Método</w:t>
            </w:r>
          </w:p>
        </w:tc>
        <w:tc>
          <w:tcPr>
            <w:tcW w:type="dxa" w:w="2520"/>
          </w:tcPr>
          <w:p>
            <w:r>
              <w:rPr>
                <w:sz w:val="16"/>
              </w:rPr>
              <w:t>Ruta</w:t>
            </w:r>
          </w:p>
        </w:tc>
        <w:tc>
          <w:tcPr>
            <w:tcW w:type="dxa" w:w="2520"/>
          </w:tcPr>
          <w:p>
            <w:r>
              <w:rPr>
                <w:sz w:val="16"/>
              </w:rPr>
              <w:t>Objetivo</w:t>
            </w:r>
          </w:p>
        </w:tc>
        <w:tc>
          <w:tcPr>
            <w:tcW w:type="dxa" w:w="2520"/>
          </w:tcPr>
          <w:p>
            <w:r>
              <w:rPr>
                <w:sz w:val="16"/>
              </w:rPr>
              <w:t>Códigos declarados</w:t>
            </w:r>
          </w:p>
        </w:tc>
      </w:tr>
      <w:tr>
        <w:tc>
          <w:tcPr>
            <w:tcW w:type="dxa" w:w="2520"/>
          </w:tcPr>
          <w:p>
            <w:r>
              <w:rPr>
                <w:sz w:val="16"/>
              </w:rPr>
              <w:t>POST</w:t>
            </w:r>
          </w:p>
        </w:tc>
        <w:tc>
          <w:tcPr>
            <w:tcW w:type="dxa" w:w="2520"/>
          </w:tcPr>
          <w:p>
            <w:r>
              <w:rPr>
                <w:sz w:val="16"/>
              </w:rPr>
              <w:t>/api/v1/resources</w:t>
            </w:r>
          </w:p>
        </w:tc>
        <w:tc>
          <w:tcPr>
            <w:tcW w:type="dxa" w:w="2520"/>
          </w:tcPr>
          <w:p>
            <w:r>
              <w:rPr>
                <w:sz w:val="16"/>
              </w:rPr>
              <w:t>Registrar unidad u oferta separada, inicialmente en cuarentena</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/api/v1/resources</w:t>
            </w:r>
          </w:p>
        </w:tc>
        <w:tc>
          <w:tcPr>
            <w:tcW w:type="dxa" w:w="2520"/>
          </w:tcPr>
          <w:p>
            <w:r>
              <w:rPr>
                <w:sz w:val="16"/>
              </w:rPr>
              <w:t>Inventario propio; coordinador recibe disponibilidad regional mínima</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/api/v1/resources/{identifier}/release</w:t>
            </w:r>
          </w:p>
        </w:tc>
        <w:tc>
          <w:tcPr>
            <w:tcW w:type="dxa" w:w="2520"/>
          </w:tcPr>
          <w:p>
            <w:r>
              <w:rPr>
                <w:sz w:val="16"/>
              </w:rPr>
              <w:t>Liberación humana documentada</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/api/v1/availability</w:t>
            </w:r>
          </w:p>
        </w:tc>
        <w:tc>
          <w:tcPr>
            <w:tcW w:type="dxa" w:w="2520"/>
          </w:tcPr>
          <w:p>
            <w:r>
              <w:rPr>
                <w:sz w:val="16"/>
              </w:rPr>
              <w:t>Disponibilidad regional minimizada con caché autorizada</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/internal/v1/available-resources</w:t>
            </w:r>
          </w:p>
        </w:tc>
        <w:tc>
          <w:tcPr>
            <w:tcW w:type="dxa" w:w="2520"/>
          </w:tcPr>
          <w:p>
            <w:r>
              <w:rPr>
                <w:sz w:val="16"/>
              </w:rPr>
              <w:t>Fuente autoritativa de candidatos; omite caché</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/api/v1/reservations</w:t>
            </w:r>
          </w:p>
        </w:tc>
        <w:tc>
          <w:tcPr>
            <w:tcW w:type="dxa" w:w="2520"/>
          </w:tcPr>
          <w:p>
            <w:r>
              <w:rPr>
                <w:sz w:val="16"/>
              </w:rPr>
              <w:t>Reservar con retención de capacidad y seguimiento de operación</w:t>
            </w:r>
          </w:p>
        </w:tc>
        <w:tc>
          <w:tcPr>
            <w:tcW w:type="dxa" w:w="2520"/>
          </w:tcPr>
          <w:p>
            <w:r>
              <w:rPr>
                <w:sz w:val="16"/>
              </w:rPr>
              <w:t>202, 400, 401, 403, 404, 406, 409, 413, 415, 422, 429, 500, 503</w:t>
            </w:r>
          </w:p>
        </w:tc>
      </w:tr>
      <w:tr>
        <w:tc>
          <w:tcPr>
            <w:tcW w:type="dxa" w:w="2520"/>
          </w:tcPr>
          <w:p>
            <w:r>
              <w:rPr>
                <w:sz w:val="16"/>
              </w:rPr>
              <w:t>GET</w:t>
            </w:r>
          </w:p>
        </w:tc>
        <w:tc>
          <w:tcPr>
            <w:tcW w:type="dxa" w:w="2520"/>
          </w:tcPr>
          <w:p>
            <w:r>
              <w:rPr>
                <w:sz w:val="16"/>
              </w:rPr>
              <w:t>/api/v1/reservations</w:t>
            </w:r>
          </w:p>
        </w:tc>
        <w:tc>
          <w:tcPr>
            <w:tcW w:type="dxa" w:w="2520"/>
          </w:tcPr>
          <w:p>
            <w:r>
              <w:rPr>
                <w:sz w:val="16"/>
              </w:rPr>
              <w:t>Reservas institucionales o regionales para coordinación</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/api/v1/operations/{identifier}</w:t>
            </w:r>
          </w:p>
        </w:tc>
        <w:tc>
          <w:tcPr>
            <w:tcW w:type="dxa" w:w="2520"/>
          </w:tcPr>
          <w:p>
            <w:r>
              <w:rPr>
                <w:sz w:val="16"/>
              </w:rPr>
              <w:t>Consultar resultado tras pérdida de respuesta</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/api/v1/operations/{identifier}/resume</w:t>
            </w:r>
          </w:p>
        </w:tc>
        <w:tc>
          <w:tcPr>
            <w:tcW w:type="dxa" w:w="2520"/>
          </w:tcPr>
          <w:p>
            <w:r>
              <w:rPr>
                <w:sz w:val="16"/>
              </w:rPr>
              <w:t>Reanudar confirmación o compensación pendiente</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/api/v1/reservations/{identifier}</w:t>
            </w:r>
          </w:p>
        </w:tc>
        <w:tc>
          <w:tcPr>
            <w:tcW w:type="dxa" w:w="2520"/>
          </w:tcPr>
          <w:p>
            <w:r>
              <w:rPr>
                <w:sz w:val="16"/>
              </w:rPr>
              <w:t>Consultar asignación autorizada</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/api/v1/reservations/{identifier}/cancel</w:t>
            </w:r>
          </w:p>
        </w:tc>
        <w:tc>
          <w:tcPr>
            <w:tcW w:type="dxa" w:w="2520"/>
          </w:tcPr>
          <w:p>
            <w:r>
              <w:rPr>
                <w:sz w:val="16"/>
              </w:rPr>
              <w:t>Liberar reserva antes de programar un traslado</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/internal/v1/reservations/{identifier}</w:t>
            </w:r>
          </w:p>
        </w:tc>
        <w:tc>
          <w:tcPr>
            <w:tcW w:type="dxa" w:w="2520"/>
          </w:tcPr>
          <w:p>
            <w:r>
              <w:rPr>
                <w:sz w:val="16"/>
              </w:rPr>
              <w:t>Datos mínimos para planear traslado</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/internal/v1/reservations/{identifier}/claim</w:t>
            </w:r>
          </w:p>
        </w:tc>
        <w:tc>
          <w:tcPr>
            <w:tcW w:type="dxa" w:w="2520"/>
          </w:tcPr>
          <w:p>
            <w:r>
              <w:rPr>
                <w:sz w:val="16"/>
              </w:rPr>
              <w:t>Vincular traslado durable antes de permitir recolección</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/internal/v1/events</w:t>
            </w:r>
          </w:p>
        </w:tc>
        <w:tc>
          <w:tcPr>
            <w:tcW w:type="dxa" w:w="2520"/>
          </w:tcPr>
          <w:p>
            <w:r>
              <w:rPr>
                <w:sz w:val="16"/>
              </w:rPr>
              <w:t>Aplicar hechos logísticos en orden y sin duplicación</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/api/v1/resources/{identifier}</w:t>
            </w:r>
          </w:p>
        </w:tc>
        <w:tc>
          <w:tcPr>
            <w:tcW w:type="dxa" w:w="2520"/>
          </w:tcPr>
          <w:p>
            <w:r>
              <w:rPr>
                <w:sz w:val="16"/>
              </w:rPr>
              <w:t>Recurso y movimientos; sin identidad del donante</w:t>
            </w:r>
          </w:p>
        </w:tc>
        <w:tc>
          <w:tcPr>
            <w:tcW w:type="dxa" w:w="2520"/>
          </w:tcPr>
          <w:p>
            <w:r>
              <w:rPr>
                <w:sz w:val="16"/>
              </w:rPr>
              <w:t>200, 400, 401, 403, 404, 406, 409, 413, 415, 422, 429, 500, 503</w:t>
            </w:r>
          </w:p>
        </w:tc>
      </w:tr>
      <w:tr>
        <w:tc>
          <w:tcPr>
            <w:tcW w:type="dxa" w:w="2520"/>
          </w:tcPr>
          <w:p>
            <w:r>
              <w:rPr>
                <w:sz w:val="16"/>
              </w:rPr>
              <w:t>PATCH</w:t>
            </w:r>
          </w:p>
        </w:tc>
        <w:tc>
          <w:tcPr>
            <w:tcW w:type="dxa" w:w="2520"/>
          </w:tcPr>
          <w:p>
            <w:r>
              <w:rPr>
                <w:sz w:val="16"/>
              </w:rPr>
              <w:t>/api/v1/resources/{identifier}</w:t>
            </w:r>
          </w:p>
        </w:tc>
        <w:tc>
          <w:tcPr>
            <w:tcW w:type="dxa" w:w="2520"/>
          </w:tcPr>
          <w:p>
            <w:r>
              <w:rPr>
                <w:sz w:val="16"/>
              </w:rPr>
              <w:t>Corregir unidad antes de liberación clínica</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/api/v1/summary</w:t>
            </w:r>
          </w:p>
        </w:tc>
        <w:tc>
          <w:tcPr>
            <w:tcW w:type="dxa" w:w="2520"/>
          </w:tcPr>
          <w:p>
            <w:r>
              <w:rPr>
                <w:sz w:val="16"/>
              </w:rPr>
              <w:t>Indicadores agregados autorizados; no expone expedientes</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/api/v1/resources/{identifier}/withdraw</w:t>
            </w:r>
          </w:p>
        </w:tc>
        <w:tc>
          <w:tcPr>
            <w:tcW w:type="dxa" w:w="2520"/>
          </w:tcPr>
          <w:p>
            <w:r>
              <w:rPr>
                <w:sz w:val="16"/>
              </w:rPr>
              <w:t>Baja lógica sin reservas ni traslado; conserva historial</w:t>
            </w:r>
          </w:p>
        </w:tc>
        <w:tc>
          <w:tcPr>
            <w:tcW w:type="dxa" w:w="2520"/>
          </w:tcPr>
          <w:p>
            <w:r>
              <w:rPr>
                <w:sz w:val="16"/>
              </w:rPr>
              <w:t>200, 400, 401, 403, 404, 406, 409, 413, 415, 422, 429, 500, 503</w:t>
            </w:r>
          </w:p>
        </w:tc>
      </w:tr>
    </w:tbl>
    <w:p/>
    <w:p>
      <w:r>
        <w:t>Entradas y salidas: encabezados Authorization, Accept, Content-Type, X-Correlation-ID y Idempotency-Key según operación. Parámetros de ruta UUID y consulta/paginación constan en OpenAPI. Respuesta {data,meta} o {error,meta}, con representación XML equivalente. El contrato interno añade encabezados de firma del servicio; los valores secretos están redactados en evidencia.</w:t>
      </w:r>
    </w:p>
    <w:p>
      <w:r>
        <w:t>Pruebas: suite de apps/services/tests, expediente dinámico por método/ruta y pruebas Docker de negocio. Consultar RESULTADOS.md para resultados reales y limitaciones; no se considera probado un endpoint solo por aparecer en esta tabla.</w:t>
      </w:r>
    </w:p>
    <w:p>
      <w:pPr>
        <w:pStyle w:val="Heading2"/>
      </w:pPr>
      <w:r>
        <w:t>Compatibilidad</w:t>
      </w:r>
    </w:p>
    <w:p>
      <w:r>
        <w:t>Genera candidatos explicables y conserva evaluaciones y dictámenes humanos.</w:t>
      </w:r>
    </w:p>
    <w:p>
      <w:r>
        <w:t>Justificación y proceso: Para RBC se aplica el filtro ABO/RhD ya documentado. Para órgano se preselecciona mismo tipo y ABO idéntico, sin interpretar HLA.</w:t>
      </w:r>
    </w:p>
    <w:p>
      <w:r>
        <w:t>Integración declarada: puede invocar contratos internos de auditoria, inventario, priorizacion_geografia, receptores; acepta llamadas firmadas de inventario, priorizacion_geografia. Estas relaciones incluyen entrega de eventos. Monitoreo consulta además la salud pública de todos los componentes. Cada ruta conserva su lista específica de consumidores y delegación en OpenAPI.</w:t>
      </w:r>
    </w:p>
    <w:p>
      <w:r>
        <w:t>Persistencia y relaciones: PostgreSQL conserva instantáneas, versiones, candidatos y revisión. Flask consulta propietarios por HTTP; Redis valida JWT y permisos.</w:t>
      </w:r>
    </w:p>
    <w:p>
      <w:r>
        <w:t>Ámbito SQL: access_compatibilidad. La correspondencia siguiente procede del SQL de instalación. Las tablas técnicas service_* filtran el propietario; las claves y relaciones completas constan en el catálogo físico.</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rPr>
                <w:sz w:val="16"/>
              </w:rPr>
              <w:t>Vista autorizada</w:t>
            </w:r>
          </w:p>
        </w:tc>
        <w:tc>
          <w:tcPr>
            <w:tcW w:type="dxa" w:w="5040"/>
          </w:tcPr>
          <w:p>
            <w:r>
              <w:rPr>
                <w:sz w:val="16"/>
              </w:rPr>
              <w:t>Tabla física compartida</w:t>
            </w:r>
          </w:p>
        </w:tc>
      </w:tr>
      <w:tr>
        <w:tc>
          <w:tcPr>
            <w:tcW w:type="dxa" w:w="5040"/>
          </w:tcPr>
          <w:p>
            <w:r>
              <w:rPr>
                <w:sz w:val="16"/>
              </w:rPr>
              <w:t>activity_events</w:t>
            </w:r>
          </w:p>
        </w:tc>
        <w:tc>
          <w:tcPr>
            <w:tcW w:type="dxa" w:w="5040"/>
          </w:tcPr>
          <w:p>
            <w:r>
              <w:rPr>
                <w:sz w:val="16"/>
              </w:rPr>
              <w:t>red_house.service_activity_events</w:t>
            </w:r>
          </w:p>
        </w:tc>
      </w:tr>
      <w:tr>
        <w:tc>
          <w:tcPr>
            <w:tcW w:type="dxa" w:w="5040"/>
          </w:tcPr>
          <w:p>
            <w:r>
              <w:rPr>
                <w:sz w:val="16"/>
              </w:rPr>
              <w:t>decisions</w:t>
            </w:r>
          </w:p>
        </w:tc>
        <w:tc>
          <w:tcPr>
            <w:tcW w:type="dxa" w:w="5040"/>
          </w:tcPr>
          <w:p>
            <w:r>
              <w:rPr>
                <w:sz w:val="16"/>
              </w:rPr>
              <w:t>red_house.service_decisions</w:t>
            </w:r>
          </w:p>
        </w:tc>
      </w:tr>
      <w:tr>
        <w:tc>
          <w:tcPr>
            <w:tcW w:type="dxa" w:w="5040"/>
          </w:tcPr>
          <w:p>
            <w:r>
              <w:rPr>
                <w:sz w:val="16"/>
              </w:rPr>
              <w:t>evaluations</w:t>
            </w:r>
          </w:p>
        </w:tc>
        <w:tc>
          <w:tcPr>
            <w:tcW w:type="dxa" w:w="5040"/>
          </w:tcPr>
          <w:p>
            <w:r>
              <w:rPr>
                <w:sz w:val="16"/>
              </w:rPr>
              <w:t>red_house.candidate_evaluation</w:t>
            </w:r>
          </w:p>
        </w:tc>
      </w:tr>
      <w:tr>
        <w:tc>
          <w:tcPr>
            <w:tcW w:type="dxa" w:w="5040"/>
          </w:tcPr>
          <w:p>
            <w:r>
              <w:rPr>
                <w:sz w:val="16"/>
              </w:rPr>
              <w:t>idempotency</w:t>
            </w:r>
          </w:p>
        </w:tc>
        <w:tc>
          <w:tcPr>
            <w:tcW w:type="dxa" w:w="5040"/>
          </w:tcPr>
          <w:p>
            <w:r>
              <w:rPr>
                <w:sz w:val="16"/>
              </w:rPr>
              <w:t>red_house.service_idempotency</w:t>
            </w:r>
          </w:p>
        </w:tc>
      </w:tr>
      <w:tr>
        <w:tc>
          <w:tcPr>
            <w:tcW w:type="dxa" w:w="5040"/>
          </w:tcPr>
          <w:p>
            <w:r>
              <w:rPr>
                <w:sz w:val="16"/>
              </w:rPr>
              <w:t>inbox</w:t>
            </w:r>
          </w:p>
        </w:tc>
        <w:tc>
          <w:tcPr>
            <w:tcW w:type="dxa" w:w="5040"/>
          </w:tcPr>
          <w:p>
            <w:r>
              <w:rPr>
                <w:sz w:val="16"/>
              </w:rPr>
              <w:t>red_house.service_inbox</w:t>
            </w:r>
          </w:p>
        </w:tc>
      </w:tr>
      <w:tr>
        <w:tc>
          <w:tcPr>
            <w:tcW w:type="dxa" w:w="5040"/>
          </w:tcPr>
          <w:p>
            <w:r>
              <w:rPr>
                <w:sz w:val="16"/>
              </w:rPr>
              <w:t>outbox</w:t>
            </w:r>
          </w:p>
        </w:tc>
        <w:tc>
          <w:tcPr>
            <w:tcW w:type="dxa" w:w="5040"/>
          </w:tcPr>
          <w:p>
            <w:r>
              <w:rPr>
                <w:sz w:val="16"/>
              </w:rPr>
              <w:t>red_house.service_outbox</w:t>
            </w:r>
          </w:p>
        </w:tc>
      </w:tr>
      <w:tr>
        <w:tc>
          <w:tcPr>
            <w:tcW w:type="dxa" w:w="5040"/>
          </w:tcPr>
          <w:p>
            <w:r>
              <w:rPr>
                <w:sz w:val="16"/>
              </w:rPr>
              <w:t>reviews</w:t>
            </w:r>
          </w:p>
        </w:tc>
        <w:tc>
          <w:tcPr>
            <w:tcW w:type="dxa" w:w="5040"/>
          </w:tcPr>
          <w:p>
            <w:r>
              <w:rPr>
                <w:sz w:val="16"/>
              </w:rPr>
              <w:t>red_house.blood_review</w:t>
            </w:r>
          </w:p>
        </w:tc>
      </w:tr>
      <w:tr>
        <w:tc>
          <w:tcPr>
            <w:tcW w:type="dxa" w:w="5040"/>
          </w:tcPr>
          <w:p>
            <w:r>
              <w:rPr>
                <w:sz w:val="16"/>
              </w:rPr>
              <w:t>schema_version</w:t>
            </w:r>
          </w:p>
        </w:tc>
        <w:tc>
          <w:tcPr>
            <w:tcW w:type="dxa" w:w="5040"/>
          </w:tcPr>
          <w:p>
            <w:r>
              <w:rPr>
                <w:sz w:val="16"/>
              </w:rPr>
              <w:t>red_house.service_schema_version</w:t>
            </w:r>
          </w:p>
        </w:tc>
      </w:tr>
      <w:tr>
        <w:tc>
          <w:tcPr>
            <w:tcW w:type="dxa" w:w="5040"/>
          </w:tcPr>
          <w:p>
            <w:r>
              <w:rPr>
                <w:sz w:val="16"/>
              </w:rPr>
              <w:t>worker_health</w:t>
            </w:r>
          </w:p>
        </w:tc>
        <w:tc>
          <w:tcPr>
            <w:tcW w:type="dxa" w:w="5040"/>
          </w:tcPr>
          <w:p>
            <w:r>
              <w:rPr>
                <w:sz w:val="16"/>
              </w:rPr>
              <w:t>red_house.service_worker_health</w:t>
            </w:r>
          </w:p>
        </w:tc>
      </w:tr>
    </w:tbl>
    <w:p/>
    <w:p>
      <w:r>
        <w:t>Despliegue: Dockerfile, dos instancias compatibilidad-a/b, gateway http://127.0.0.1:6105 y Swagger /docs/. Configuración privada propia: DATABASE_URL, REDIS_URL, claves públicas JWT y de servicios, clave privada de firma interna y URLs del gateway. Solo Identidad conserva la clave privada JWT. Transporte añade configuración GCS; los cuatro propietarios documentales añaden MongoDB.</w:t>
      </w:r>
    </w:p>
    <w:p>
      <w:r>
        <w:t>Seguridad: JWT RS256 con Redis en cada operación protegida; rol y recurso según contrato. Rutas internas exigen firma, nonce y autoridad llamante. POST/PATCH de negocio conservan Idempotency-Key donde está declarado, versión y motivo cuando corresponde. GET autorizado genera auditoría; las transacciones publican eventos por outbox.</w:t>
      </w:r>
    </w:p>
    <w:p>
      <w:r>
        <w:t>Contratos: OpenAPI completo · Directorio JSON/XML/XSD · Ejecuciones HTTP.</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rPr>
                <w:sz w:val="16"/>
              </w:rPr>
              <w:t>Método</w:t>
            </w:r>
          </w:p>
        </w:tc>
        <w:tc>
          <w:tcPr>
            <w:tcW w:type="dxa" w:w="2520"/>
          </w:tcPr>
          <w:p>
            <w:r>
              <w:rPr>
                <w:sz w:val="16"/>
              </w:rPr>
              <w:t>Ruta</w:t>
            </w:r>
          </w:p>
        </w:tc>
        <w:tc>
          <w:tcPr>
            <w:tcW w:type="dxa" w:w="2520"/>
          </w:tcPr>
          <w:p>
            <w:r>
              <w:rPr>
                <w:sz w:val="16"/>
              </w:rPr>
              <w:t>Objetivo</w:t>
            </w:r>
          </w:p>
        </w:tc>
        <w:tc>
          <w:tcPr>
            <w:tcW w:type="dxa" w:w="2520"/>
          </w:tcPr>
          <w:p>
            <w:r>
              <w:rPr>
                <w:sz w:val="16"/>
              </w:rPr>
              <w:t>Códigos declarados</w:t>
            </w:r>
          </w:p>
        </w:tc>
      </w:tr>
      <w:tr>
        <w:tc>
          <w:tcPr>
            <w:tcW w:type="dxa" w:w="2520"/>
          </w:tcPr>
          <w:p>
            <w:r>
              <w:rPr>
                <w:sz w:val="16"/>
              </w:rPr>
              <w:t>POST</w:t>
            </w:r>
          </w:p>
        </w:tc>
        <w:tc>
          <w:tcPr>
            <w:tcW w:type="dxa" w:w="2520"/>
          </w:tcPr>
          <w:p>
            <w:r>
              <w:rPr>
                <w:sz w:val="16"/>
              </w:rPr>
              <w:t>/api/v1/evaluations</w:t>
            </w:r>
          </w:p>
        </w:tc>
        <w:tc>
          <w:tcPr>
            <w:tcW w:type="dxa" w:w="2520"/>
          </w:tcPr>
          <w:p>
            <w:r>
              <w:rPr>
                <w:sz w:val="16"/>
              </w:rPr>
              <w:t>Preselección ilustrativa con datos y reglas versionados</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/api/v1/evaluations</w:t>
            </w:r>
          </w:p>
        </w:tc>
        <w:tc>
          <w:tcPr>
            <w:tcW w:type="dxa" w:w="2520"/>
          </w:tcPr>
          <w:p>
            <w:r>
              <w:rPr>
                <w:sz w:val="16"/>
              </w:rPr>
              <w:t>Historial institucional de evaluaciones y versiones</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/api/v1/evaluations/{identifier}</w:t>
            </w:r>
          </w:p>
        </w:tc>
        <w:tc>
          <w:tcPr>
            <w:tcW w:type="dxa" w:w="2520"/>
          </w:tcPr>
          <w:p>
            <w:r>
              <w:rPr>
                <w:sz w:val="16"/>
              </w:rPr>
              <w:t>Consultar evaluación, explicación y dictámenes</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/api/v1/evaluations/{identifier}/reviews</w:t>
            </w:r>
          </w:p>
        </w:tc>
        <w:tc>
          <w:tcPr>
            <w:tcW w:type="dxa" w:w="2520"/>
          </w:tcPr>
          <w:p>
            <w:r>
              <w:rPr>
                <w:sz w:val="16"/>
              </w:rPr>
              <w:t>Registrar dictamen humano inmutable de un candidato</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/internal/v1/evaluations/{identifier}</w:t>
            </w:r>
          </w:p>
        </w:tc>
        <w:tc>
          <w:tcPr>
            <w:tcW w:type="dxa" w:w="2520"/>
          </w:tcPr>
          <w:p>
            <w:r>
              <w:rPr>
                <w:sz w:val="16"/>
              </w:rPr>
              <w:t>Instantánea y dictámenes para reservar o priorizar</w:t>
            </w:r>
          </w:p>
        </w:tc>
        <w:tc>
          <w:tcPr>
            <w:tcW w:type="dxa" w:w="2520"/>
          </w:tcPr>
          <w:p>
            <w:r>
              <w:rPr>
                <w:sz w:val="16"/>
              </w:rPr>
              <w:t>200, 400, 401, 403, 404, 406, 409, 413, 415, 422, 429, 500, 503</w:t>
            </w:r>
          </w:p>
        </w:tc>
      </w:tr>
    </w:tbl>
    <w:p/>
    <w:p>
      <w:r>
        <w:t>Entradas y salidas: encabezados Authorization, Accept, Content-Type, X-Correlation-ID y Idempotency-Key según operación. Parámetros de ruta UUID y consulta/paginación constan en OpenAPI. Respuesta {data,meta} o {error,meta}, con representación XML equivalente. El contrato interno añade encabezados de firma del servicio; los valores secretos están redactados en evidencia.</w:t>
      </w:r>
    </w:p>
    <w:p>
      <w:r>
        <w:t>Pruebas: suite de apps/services/tests, expediente dinámico por método/ruta y pruebas Docker de negocio. Consultar RESULTADOS.md para resultados reales y limitaciones; no se considera probado un endpoint solo por aparecer en esta tabla.</w:t>
      </w:r>
    </w:p>
    <w:p>
      <w:pPr>
        <w:pStyle w:val="Heading2"/>
      </w:pPr>
      <w:r>
        <w:t>Priorización y geografía</w:t>
      </w:r>
    </w:p>
    <w:p>
      <w:r>
        <w:t>Mantiene estimaciones de rutas, ranking operativo y propuestas de cobertura máxima.</w:t>
      </w:r>
    </w:p>
    <w:p>
      <w:r>
        <w:t>Justificación y proceso: Si un paciente admite A o B y otro solo A, un recorrido voraz puede dejar uno sin propuesta. Un camino aumentante permite proponer B al flexible y A al restringido.</w:t>
      </w:r>
    </w:p>
    <w:p>
      <w:r>
        <w:t>Integración declarada: puede invocar contratos internos de auditoria, compatibilidad, identidad_acceso; acepta llamadas firmadas de compatibilidad, inventario, transporte. Estas relaciones incluyen entrega de eventos. Monitoreo consulta además la salud pública de todos los componentes. Cada ruta conserva su lista específica de consumidores y delegación en OpenAPI.</w:t>
      </w:r>
    </w:p>
    <w:p>
      <w:r>
        <w:t>Persistencia y relaciones: PostgreSQL conserva rutas versionadas, factores, rankings y propuestas. Python ejecuta ordenamiento y matching bipartito Hopcroft–Karp. Redis aplica seguridad.</w:t>
      </w:r>
    </w:p>
    <w:p>
      <w:r>
        <w:t>Ámbito SQL: access_priorizacion_geografia. La correspondencia siguiente procede del SQL de instalación. Las tablas técnicas service_* filtran el propietario; las claves y relaciones completas constan en el catálogo físico.</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rPr>
                <w:sz w:val="16"/>
              </w:rPr>
              <w:t>Vista autorizada</w:t>
            </w:r>
          </w:p>
        </w:tc>
        <w:tc>
          <w:tcPr>
            <w:tcW w:type="dxa" w:w="5040"/>
          </w:tcPr>
          <w:p>
            <w:r>
              <w:rPr>
                <w:sz w:val="16"/>
              </w:rPr>
              <w:t>Tabla física compartida</w:t>
            </w:r>
          </w:p>
        </w:tc>
      </w:tr>
      <w:tr>
        <w:tc>
          <w:tcPr>
            <w:tcW w:type="dxa" w:w="5040"/>
          </w:tcPr>
          <w:p>
            <w:r>
              <w:rPr>
                <w:sz w:val="16"/>
              </w:rPr>
              <w:t>activity_events</w:t>
            </w:r>
          </w:p>
        </w:tc>
        <w:tc>
          <w:tcPr>
            <w:tcW w:type="dxa" w:w="5040"/>
          </w:tcPr>
          <w:p>
            <w:r>
              <w:rPr>
                <w:sz w:val="16"/>
              </w:rPr>
              <w:t>red_house.service_activity_events</w:t>
            </w:r>
          </w:p>
        </w:tc>
      </w:tr>
      <w:tr>
        <w:tc>
          <w:tcPr>
            <w:tcW w:type="dxa" w:w="5040"/>
          </w:tcPr>
          <w:p>
            <w:r>
              <w:rPr>
                <w:sz w:val="16"/>
              </w:rPr>
              <w:t>decisions</w:t>
            </w:r>
          </w:p>
        </w:tc>
        <w:tc>
          <w:tcPr>
            <w:tcW w:type="dxa" w:w="5040"/>
          </w:tcPr>
          <w:p>
            <w:r>
              <w:rPr>
                <w:sz w:val="16"/>
              </w:rPr>
              <w:t>red_house.service_decisions</w:t>
            </w:r>
          </w:p>
        </w:tc>
      </w:tr>
      <w:tr>
        <w:tc>
          <w:tcPr>
            <w:tcW w:type="dxa" w:w="5040"/>
          </w:tcPr>
          <w:p>
            <w:r>
              <w:rPr>
                <w:sz w:val="16"/>
              </w:rPr>
              <w:t>idempotency</w:t>
            </w:r>
          </w:p>
        </w:tc>
        <w:tc>
          <w:tcPr>
            <w:tcW w:type="dxa" w:w="5040"/>
          </w:tcPr>
          <w:p>
            <w:r>
              <w:rPr>
                <w:sz w:val="16"/>
              </w:rPr>
              <w:t>red_house.service_idempotency</w:t>
            </w:r>
          </w:p>
        </w:tc>
      </w:tr>
      <w:tr>
        <w:tc>
          <w:tcPr>
            <w:tcW w:type="dxa" w:w="5040"/>
          </w:tcPr>
          <w:p>
            <w:r>
              <w:rPr>
                <w:sz w:val="16"/>
              </w:rPr>
              <w:t>inbox</w:t>
            </w:r>
          </w:p>
        </w:tc>
        <w:tc>
          <w:tcPr>
            <w:tcW w:type="dxa" w:w="5040"/>
          </w:tcPr>
          <w:p>
            <w:r>
              <w:rPr>
                <w:sz w:val="16"/>
              </w:rPr>
              <w:t>red_house.service_inbox</w:t>
            </w:r>
          </w:p>
        </w:tc>
      </w:tr>
      <w:tr>
        <w:tc>
          <w:tcPr>
            <w:tcW w:type="dxa" w:w="5040"/>
          </w:tcPr>
          <w:p>
            <w:r>
              <w:rPr>
                <w:sz w:val="16"/>
              </w:rPr>
              <w:t>outbox</w:t>
            </w:r>
          </w:p>
        </w:tc>
        <w:tc>
          <w:tcPr>
            <w:tcW w:type="dxa" w:w="5040"/>
          </w:tcPr>
          <w:p>
            <w:r>
              <w:rPr>
                <w:sz w:val="16"/>
              </w:rPr>
              <w:t>red_house.service_outbox</w:t>
            </w:r>
          </w:p>
        </w:tc>
      </w:tr>
      <w:tr>
        <w:tc>
          <w:tcPr>
            <w:tcW w:type="dxa" w:w="5040"/>
          </w:tcPr>
          <w:p>
            <w:r>
              <w:rPr>
                <w:sz w:val="16"/>
              </w:rPr>
              <w:t>proposals</w:t>
            </w:r>
          </w:p>
        </w:tc>
        <w:tc>
          <w:tcPr>
            <w:tcW w:type="dxa" w:w="5040"/>
          </w:tcPr>
          <w:p>
            <w:r>
              <w:rPr>
                <w:sz w:val="16"/>
              </w:rPr>
              <w:t>red_house.balance_proposal</w:t>
            </w:r>
          </w:p>
        </w:tc>
      </w:tr>
      <w:tr>
        <w:tc>
          <w:tcPr>
            <w:tcW w:type="dxa" w:w="5040"/>
          </w:tcPr>
          <w:p>
            <w:r>
              <w:rPr>
                <w:sz w:val="16"/>
              </w:rPr>
              <w:t>rankings</w:t>
            </w:r>
          </w:p>
        </w:tc>
        <w:tc>
          <w:tcPr>
            <w:tcW w:type="dxa" w:w="5040"/>
          </w:tcPr>
          <w:p>
            <w:r>
              <w:rPr>
                <w:sz w:val="16"/>
              </w:rPr>
              <w:t>red_house.ranking_run</w:t>
            </w:r>
          </w:p>
        </w:tc>
      </w:tr>
      <w:tr>
        <w:tc>
          <w:tcPr>
            <w:tcW w:type="dxa" w:w="5040"/>
          </w:tcPr>
          <w:p>
            <w:r>
              <w:rPr>
                <w:sz w:val="16"/>
              </w:rPr>
              <w:t>routes</w:t>
            </w:r>
          </w:p>
        </w:tc>
        <w:tc>
          <w:tcPr>
            <w:tcW w:type="dxa" w:w="5040"/>
          </w:tcPr>
          <w:p>
            <w:r>
              <w:rPr>
                <w:sz w:val="16"/>
              </w:rPr>
              <w:t>red_house.regional_route</w:t>
            </w:r>
          </w:p>
        </w:tc>
      </w:tr>
      <w:tr>
        <w:tc>
          <w:tcPr>
            <w:tcW w:type="dxa" w:w="5040"/>
          </w:tcPr>
          <w:p>
            <w:r>
              <w:rPr>
                <w:sz w:val="16"/>
              </w:rPr>
              <w:t>schema_version</w:t>
            </w:r>
          </w:p>
        </w:tc>
        <w:tc>
          <w:tcPr>
            <w:tcW w:type="dxa" w:w="5040"/>
          </w:tcPr>
          <w:p>
            <w:r>
              <w:rPr>
                <w:sz w:val="16"/>
              </w:rPr>
              <w:t>red_house.service_schema_version</w:t>
            </w:r>
          </w:p>
        </w:tc>
      </w:tr>
      <w:tr>
        <w:tc>
          <w:tcPr>
            <w:tcW w:type="dxa" w:w="5040"/>
          </w:tcPr>
          <w:p>
            <w:r>
              <w:rPr>
                <w:sz w:val="16"/>
              </w:rPr>
              <w:t>worker_health</w:t>
            </w:r>
          </w:p>
        </w:tc>
        <w:tc>
          <w:tcPr>
            <w:tcW w:type="dxa" w:w="5040"/>
          </w:tcPr>
          <w:p>
            <w:r>
              <w:rPr>
                <w:sz w:val="16"/>
              </w:rPr>
              <w:t>red_house.service_worker_health</w:t>
            </w:r>
          </w:p>
        </w:tc>
      </w:tr>
    </w:tbl>
    <w:p/>
    <w:p>
      <w:r>
        <w:t>Despliegue: Dockerfile, dos instancias priorizacion-geografia-a/b, gateway http://127.0.0.1:6106 y Swagger /docs/. Configuración privada propia: DATABASE_URL, REDIS_URL, claves públicas JWT y de servicios, clave privada de firma interna y URLs del gateway. Solo Identidad conserva la clave privada JWT. Transporte añade configuración GCS; los cuatro propietarios documentales añaden MongoDB.</w:t>
      </w:r>
    </w:p>
    <w:p>
      <w:r>
        <w:t>Seguridad: JWT RS256 con Redis en cada operación protegida; rol y recurso según contrato. Rutas internas exigen firma, nonce y autoridad llamante. POST/PATCH de negocio conservan Idempotency-Key donde está declarado, versión y motivo cuando corresponde. GET autorizado genera auditoría; las transacciones publican eventos por outbox.</w:t>
      </w:r>
    </w:p>
    <w:p>
      <w:r>
        <w:t>Contratos: OpenAPI completo · Directorio JSON/XML/XSD · Ejecuciones HTTP.</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rPr>
                <w:sz w:val="16"/>
              </w:rPr>
              <w:t>Método</w:t>
            </w:r>
          </w:p>
        </w:tc>
        <w:tc>
          <w:tcPr>
            <w:tcW w:type="dxa" w:w="2520"/>
          </w:tcPr>
          <w:p>
            <w:r>
              <w:rPr>
                <w:sz w:val="16"/>
              </w:rPr>
              <w:t>Ruta</w:t>
            </w:r>
          </w:p>
        </w:tc>
        <w:tc>
          <w:tcPr>
            <w:tcW w:type="dxa" w:w="2520"/>
          </w:tcPr>
          <w:p>
            <w:r>
              <w:rPr>
                <w:sz w:val="16"/>
              </w:rPr>
              <w:t>Objetivo</w:t>
            </w:r>
          </w:p>
        </w:tc>
        <w:tc>
          <w:tcPr>
            <w:tcW w:type="dxa" w:w="2520"/>
          </w:tcPr>
          <w:p>
            <w:r>
              <w:rPr>
                <w:sz w:val="16"/>
              </w:rPr>
              <w:t>Códigos declarados</w:t>
            </w:r>
          </w:p>
        </w:tc>
      </w:tr>
      <w:tr>
        <w:tc>
          <w:tcPr>
            <w:tcW w:type="dxa" w:w="2520"/>
          </w:tcPr>
          <w:p>
            <w:r>
              <w:rPr>
                <w:sz w:val="16"/>
              </w:rPr>
              <w:t>POST</w:t>
            </w:r>
          </w:p>
        </w:tc>
        <w:tc>
          <w:tcPr>
            <w:tcW w:type="dxa" w:w="2520"/>
          </w:tcPr>
          <w:p>
            <w:r>
              <w:rPr>
                <w:sz w:val="16"/>
              </w:rPr>
              <w:t>/api/v1/routes</w:t>
            </w:r>
          </w:p>
        </w:tc>
        <w:tc>
          <w:tcPr>
            <w:tcW w:type="dxa" w:w="2520"/>
          </w:tcPr>
          <w:p>
            <w:r>
              <w:rPr>
                <w:sz w:val="16"/>
              </w:rPr>
              <w:t>Registrar estimación logística con procedencia</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/api/v1/routes</w:t>
            </w:r>
          </w:p>
        </w:tc>
        <w:tc>
          <w:tcPr>
            <w:tcW w:type="dxa" w:w="2520"/>
          </w:tcPr>
          <w:p>
            <w:r>
              <w:rPr>
                <w:sz w:val="16"/>
              </w:rPr>
              <w:t>Rutas autorizadas de la región</w:t>
            </w:r>
          </w:p>
        </w:tc>
        <w:tc>
          <w:tcPr>
            <w:tcW w:type="dxa" w:w="2520"/>
          </w:tcPr>
          <w:p>
            <w:r>
              <w:rPr>
                <w:sz w:val="16"/>
              </w:rPr>
              <w:t>200, 400, 401, 403, 404, 406, 409, 413, 415, 422, 429, 500, 503</w:t>
            </w:r>
          </w:p>
        </w:tc>
      </w:tr>
      <w:tr>
        <w:tc>
          <w:tcPr>
            <w:tcW w:type="dxa" w:w="2520"/>
          </w:tcPr>
          <w:p>
            <w:r>
              <w:rPr>
                <w:sz w:val="16"/>
              </w:rPr>
              <w:t>PATCH</w:t>
            </w:r>
          </w:p>
        </w:tc>
        <w:tc>
          <w:tcPr>
            <w:tcW w:type="dxa" w:w="2520"/>
          </w:tcPr>
          <w:p>
            <w:r>
              <w:rPr>
                <w:sz w:val="16"/>
              </w:rPr>
              <w:t>/api/v1/routes/{identifier}</w:t>
            </w:r>
          </w:p>
        </w:tc>
        <w:tc>
          <w:tcPr>
            <w:tcW w:type="dxa" w:w="2520"/>
          </w:tcPr>
          <w:p>
            <w:r>
              <w:rPr>
                <w:sz w:val="16"/>
              </w:rPr>
              <w:t>Actualizar ruta con control de versión</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/api/v1/routes/{identifier}</w:t>
            </w:r>
          </w:p>
        </w:tc>
        <w:tc>
          <w:tcPr>
            <w:tcW w:type="dxa" w:w="2520"/>
          </w:tcPr>
          <w:p>
            <w:r>
              <w:rPr>
                <w:sz w:val="16"/>
              </w:rPr>
              <w:t>Consultar una ruta regional por identificador</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/internal/v1/routes/{identifier}</w:t>
            </w:r>
          </w:p>
        </w:tc>
        <w:tc>
          <w:tcPr>
            <w:tcW w:type="dxa" w:w="2520"/>
          </w:tcPr>
          <w:p>
            <w:r>
              <w:rPr>
                <w:sz w:val="16"/>
              </w:rPr>
              <w:t>Revalidar una ruta conocida</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/internal/v1/route-options</w:t>
            </w:r>
          </w:p>
        </w:tc>
        <w:tc>
          <w:tcPr>
            <w:tcW w:type="dxa" w:w="2520"/>
          </w:tcPr>
          <w:p>
            <w:r>
              <w:rPr>
                <w:sz w:val="16"/>
              </w:rPr>
              <w:t>Estimaciones regionales para filtrar candidatos</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/api/v1/rankings</w:t>
            </w:r>
          </w:p>
        </w:tc>
        <w:tc>
          <w:tcPr>
            <w:tcW w:type="dxa" w:w="2520"/>
          </w:tcPr>
          <w:p>
            <w:r>
              <w:rPr>
                <w:sz w:val="16"/>
              </w:rPr>
              <w:t>Ranking operativo explicable y versionado, no decisión clínica</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/api/v1/rankings</w:t>
            </w:r>
          </w:p>
        </w:tc>
        <w:tc>
          <w:tcPr>
            <w:tcW w:type="dxa" w:w="2520"/>
          </w:tcPr>
          <w:p>
            <w:r>
              <w:rPr>
                <w:sz w:val="16"/>
              </w:rPr>
              <w:t>Historial propio de rankings operativos</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/api/v1/rankings/{identifier}</w:t>
            </w:r>
          </w:p>
        </w:tc>
        <w:tc>
          <w:tcPr>
            <w:tcW w:type="dxa" w:w="2520"/>
          </w:tcPr>
          <w:p>
            <w:r>
              <w:rPr>
                <w:sz w:val="16"/>
              </w:rPr>
              <w:t>Factores, explicación y resultados del ranking</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/api/v1/allocation-proposals</w:t>
            </w:r>
          </w:p>
        </w:tc>
        <w:tc>
          <w:tcPr>
            <w:tcW w:type="dxa" w:w="2520"/>
          </w:tcPr>
          <w:p>
            <w:r>
              <w:rPr>
                <w:sz w:val="16"/>
              </w:rPr>
              <w:t>Matching máximo de candidatos con dictamen favorable; propuesta sin reservas</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/api/v1/allocation-proposals</w:t>
            </w:r>
          </w:p>
        </w:tc>
        <w:tc>
          <w:tcPr>
            <w:tcW w:type="dxa" w:w="2520"/>
          </w:tcPr>
          <w:p>
            <w:r>
              <w:rPr>
                <w:sz w:val="16"/>
              </w:rPr>
              <w:t>Historial institucional de propuestas de cobertura, sin reservas automáticas</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/api/v1/allocation-proposals/{identifier}</w:t>
            </w:r>
          </w:p>
        </w:tc>
        <w:tc>
          <w:tcPr>
            <w:tcW w:type="dxa" w:w="2520"/>
          </w:tcPr>
          <w:p>
            <w:r>
              <w:rPr>
                <w:sz w:val="16"/>
              </w:rPr>
              <w:t>Consultar propuesta, límites y versiones originales</w:t>
            </w:r>
          </w:p>
        </w:tc>
        <w:tc>
          <w:tcPr>
            <w:tcW w:type="dxa" w:w="2520"/>
          </w:tcPr>
          <w:p>
            <w:r>
              <w:rPr>
                <w:sz w:val="16"/>
              </w:rPr>
              <w:t>200, 400, 401, 403, 404, 406, 409, 413, 415, 422, 429, 500, 503</w:t>
            </w:r>
          </w:p>
        </w:tc>
      </w:tr>
    </w:tbl>
    <w:p/>
    <w:p>
      <w:r>
        <w:t>Entradas y salidas: encabezados Authorization, Accept, Content-Type, X-Correlation-ID y Idempotency-Key según operación. Parámetros de ruta UUID y consulta/paginación constan en OpenAPI. Respuesta {data,meta} o {error,meta}, con representación XML equivalente. El contrato interno añade encabezados de firma del servicio; los valores secretos están redactados en evidencia.</w:t>
      </w:r>
    </w:p>
    <w:p>
      <w:r>
        <w:t>Pruebas: suite de apps/services/tests, expediente dinámico por método/ruta y pruebas Docker de negocio. Consultar RESULTADOS.md para resultados reales y limitaciones; no se considera probado un endpoint solo por aparecer en esta tabla.</w:t>
      </w:r>
    </w:p>
    <w:p>
      <w:pPr>
        <w:pStyle w:val="Heading2"/>
      </w:pPr>
      <w:r>
        <w:t>Transporte</w:t>
      </w:r>
    </w:p>
    <w:p>
      <w:r>
        <w:t>Planea y sigue traslados, responsables, incidencias, ubicación autorizada y evidencias.</w:t>
      </w:r>
    </w:p>
    <w:p>
      <w:r>
        <w:t>Justificación y proceso: Coordinación planea; origen prepara; traslado recoge y entrega; destino acepta. Cada paso genera eventos de custodia y auditoría.</w:t>
      </w:r>
    </w:p>
    <w:p>
      <w:r>
        <w:t>Integración declarada: puede invocar contratos internos de alertas, auditoria, custodia, identidad_acceso, inventario, priorizacion_geografia; acepta llamadas firmadas de custodia. Estas relaciones incluyen entrega de eventos. Monitoreo consulta además la salud pública de todos los componentes. Cada ruta conserva su lista específica de consumidores y delegación en OpenAPI.</w:t>
      </w:r>
    </w:p>
    <w:p>
      <w:r>
        <w:t>Persistencia y relaciones: PostgreSQL conserva órdenes, pasos y referencias de archivos. MongoDB recibe documentos y telemetría mediante outbox. Redis conserva sesión y referencia de ubicación reciente. GCS almacena archivos privados; el portal carga, verifica y descarga mediante firmas temporales.</w:t>
      </w:r>
    </w:p>
    <w:p>
      <w:r>
        <w:t>Ámbito SQL: access_transporte. La correspondencia siguiente procede del SQL de instalación. Las tablas técnicas service_* filtran el propietario; las claves y relaciones completas constan en el catálogo físico.</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rPr>
                <w:sz w:val="16"/>
              </w:rPr>
              <w:t>Vista autorizada</w:t>
            </w:r>
          </w:p>
        </w:tc>
        <w:tc>
          <w:tcPr>
            <w:tcW w:type="dxa" w:w="5040"/>
          </w:tcPr>
          <w:p>
            <w:r>
              <w:rPr>
                <w:sz w:val="16"/>
              </w:rPr>
              <w:t>Tabla física compartida</w:t>
            </w:r>
          </w:p>
        </w:tc>
      </w:tr>
      <w:tr>
        <w:tc>
          <w:tcPr>
            <w:tcW w:type="dxa" w:w="5040"/>
          </w:tcPr>
          <w:p>
            <w:r>
              <w:rPr>
                <w:sz w:val="16"/>
              </w:rPr>
              <w:t>activity_events</w:t>
            </w:r>
          </w:p>
        </w:tc>
        <w:tc>
          <w:tcPr>
            <w:tcW w:type="dxa" w:w="5040"/>
          </w:tcPr>
          <w:p>
            <w:r>
              <w:rPr>
                <w:sz w:val="16"/>
              </w:rPr>
              <w:t>red_house.service_activity_events</w:t>
            </w:r>
          </w:p>
        </w:tc>
      </w:tr>
      <w:tr>
        <w:tc>
          <w:tcPr>
            <w:tcW w:type="dxa" w:w="5040"/>
          </w:tcPr>
          <w:p>
            <w:r>
              <w:rPr>
                <w:sz w:val="16"/>
              </w:rPr>
              <w:t>decisions</w:t>
            </w:r>
          </w:p>
        </w:tc>
        <w:tc>
          <w:tcPr>
            <w:tcW w:type="dxa" w:w="5040"/>
          </w:tcPr>
          <w:p>
            <w:r>
              <w:rPr>
                <w:sz w:val="16"/>
              </w:rPr>
              <w:t>red_house.service_decisions</w:t>
            </w:r>
          </w:p>
        </w:tc>
      </w:tr>
      <w:tr>
        <w:tc>
          <w:tcPr>
            <w:tcW w:type="dxa" w:w="5040"/>
          </w:tcPr>
          <w:p>
            <w:r>
              <w:rPr>
                <w:sz w:val="16"/>
              </w:rPr>
              <w:t>files</w:t>
            </w:r>
          </w:p>
        </w:tc>
        <w:tc>
          <w:tcPr>
            <w:tcW w:type="dxa" w:w="5040"/>
          </w:tcPr>
          <w:p>
            <w:r>
              <w:rPr>
                <w:sz w:val="16"/>
              </w:rPr>
              <w:t>red_house.stored_file</w:t>
            </w:r>
          </w:p>
        </w:tc>
      </w:tr>
      <w:tr>
        <w:tc>
          <w:tcPr>
            <w:tcW w:type="dxa" w:w="5040"/>
          </w:tcPr>
          <w:p>
            <w:r>
              <w:rPr>
                <w:sz w:val="16"/>
              </w:rPr>
              <w:t>idempotency</w:t>
            </w:r>
          </w:p>
        </w:tc>
        <w:tc>
          <w:tcPr>
            <w:tcW w:type="dxa" w:w="5040"/>
          </w:tcPr>
          <w:p>
            <w:r>
              <w:rPr>
                <w:sz w:val="16"/>
              </w:rPr>
              <w:t>red_house.service_idempotency</w:t>
            </w:r>
          </w:p>
        </w:tc>
      </w:tr>
      <w:tr>
        <w:tc>
          <w:tcPr>
            <w:tcW w:type="dxa" w:w="5040"/>
          </w:tcPr>
          <w:p>
            <w:r>
              <w:rPr>
                <w:sz w:val="16"/>
              </w:rPr>
              <w:t>inbox</w:t>
            </w:r>
          </w:p>
        </w:tc>
        <w:tc>
          <w:tcPr>
            <w:tcW w:type="dxa" w:w="5040"/>
          </w:tcPr>
          <w:p>
            <w:r>
              <w:rPr>
                <w:sz w:val="16"/>
              </w:rPr>
              <w:t>red_house.service_inbox</w:t>
            </w:r>
          </w:p>
        </w:tc>
      </w:tr>
      <w:tr>
        <w:tc>
          <w:tcPr>
            <w:tcW w:type="dxa" w:w="5040"/>
          </w:tcPr>
          <w:p>
            <w:r>
              <w:rPr>
                <w:sz w:val="16"/>
              </w:rPr>
              <w:t>outbox</w:t>
            </w:r>
          </w:p>
        </w:tc>
        <w:tc>
          <w:tcPr>
            <w:tcW w:type="dxa" w:w="5040"/>
          </w:tcPr>
          <w:p>
            <w:r>
              <w:rPr>
                <w:sz w:val="16"/>
              </w:rPr>
              <w:t>red_house.service_outbox</w:t>
            </w:r>
          </w:p>
        </w:tc>
      </w:tr>
      <w:tr>
        <w:tc>
          <w:tcPr>
            <w:tcW w:type="dxa" w:w="5040"/>
          </w:tcPr>
          <w:p>
            <w:r>
              <w:rPr>
                <w:sz w:val="16"/>
              </w:rPr>
              <w:t>schema_version</w:t>
            </w:r>
          </w:p>
        </w:tc>
        <w:tc>
          <w:tcPr>
            <w:tcW w:type="dxa" w:w="5040"/>
          </w:tcPr>
          <w:p>
            <w:r>
              <w:rPr>
                <w:sz w:val="16"/>
              </w:rPr>
              <w:t>red_house.service_schema_version</w:t>
            </w:r>
          </w:p>
        </w:tc>
      </w:tr>
      <w:tr>
        <w:tc>
          <w:tcPr>
            <w:tcW w:type="dxa" w:w="5040"/>
          </w:tcPr>
          <w:p>
            <w:r>
              <w:rPr>
                <w:sz w:val="16"/>
              </w:rPr>
              <w:t>shipments</w:t>
            </w:r>
          </w:p>
        </w:tc>
        <w:tc>
          <w:tcPr>
            <w:tcW w:type="dxa" w:w="5040"/>
          </w:tcPr>
          <w:p>
            <w:r>
              <w:rPr>
                <w:sz w:val="16"/>
              </w:rPr>
              <w:t>red_house.shipment</w:t>
            </w:r>
          </w:p>
        </w:tc>
      </w:tr>
      <w:tr>
        <w:tc>
          <w:tcPr>
            <w:tcW w:type="dxa" w:w="5040"/>
          </w:tcPr>
          <w:p>
            <w:r>
              <w:rPr>
                <w:sz w:val="16"/>
              </w:rPr>
              <w:t>telemetry</w:t>
            </w:r>
          </w:p>
        </w:tc>
        <w:tc>
          <w:tcPr>
            <w:tcW w:type="dxa" w:w="5040"/>
          </w:tcPr>
          <w:p>
            <w:r>
              <w:rPr>
                <w:sz w:val="16"/>
              </w:rPr>
              <w:t>red_house.transport_telemetry</w:t>
            </w:r>
          </w:p>
        </w:tc>
      </w:tr>
      <w:tr>
        <w:tc>
          <w:tcPr>
            <w:tcW w:type="dxa" w:w="5040"/>
          </w:tcPr>
          <w:p>
            <w:r>
              <w:rPr>
                <w:sz w:val="16"/>
              </w:rPr>
              <w:t>transitions</w:t>
            </w:r>
          </w:p>
        </w:tc>
        <w:tc>
          <w:tcPr>
            <w:tcW w:type="dxa" w:w="5040"/>
          </w:tcPr>
          <w:p>
            <w:r>
              <w:rPr>
                <w:sz w:val="16"/>
              </w:rPr>
              <w:t>red_house.shipment_transition</w:t>
            </w:r>
          </w:p>
        </w:tc>
      </w:tr>
      <w:tr>
        <w:tc>
          <w:tcPr>
            <w:tcW w:type="dxa" w:w="5040"/>
          </w:tcPr>
          <w:p>
            <w:r>
              <w:rPr>
                <w:sz w:val="16"/>
              </w:rPr>
              <w:t>worker_health</w:t>
            </w:r>
          </w:p>
        </w:tc>
        <w:tc>
          <w:tcPr>
            <w:tcW w:type="dxa" w:w="5040"/>
          </w:tcPr>
          <w:p>
            <w:r>
              <w:rPr>
                <w:sz w:val="16"/>
              </w:rPr>
              <w:t>red_house.service_worker_health</w:t>
            </w:r>
          </w:p>
        </w:tc>
      </w:tr>
    </w:tbl>
    <w:p/>
    <w:p>
      <w:r>
        <w:t>Despliegue: Dockerfile, dos instancias transporte-a/b, gateway http://127.0.0.1:6107 y Swagger /docs/. Configuración privada propia: DATABASE_URL, REDIS_URL, claves públicas JWT y de servicios, clave privada de firma interna y URLs del gateway. Solo Identidad conserva la clave privada JWT. Transporte añade configuración GCS; los cuatro propietarios documentales añaden MongoDB.</w:t>
      </w:r>
    </w:p>
    <w:p>
      <w:r>
        <w:t>Seguridad: JWT RS256 con Redis en cada operación protegida; rol y recurso según contrato. Rutas internas exigen firma, nonce y autoridad llamante. POST/PATCH de negocio conservan Idempotency-Key donde está declarado, versión y motivo cuando corresponde. GET autorizado genera auditoría; las transacciones publican eventos por outbox.</w:t>
      </w:r>
    </w:p>
    <w:p>
      <w:r>
        <w:t>Contratos: OpenAPI completo · Directorio JSON/XML/XSD · Ejecuciones HTTP.</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rPr>
                <w:sz w:val="16"/>
              </w:rPr>
              <w:t>Método</w:t>
            </w:r>
          </w:p>
        </w:tc>
        <w:tc>
          <w:tcPr>
            <w:tcW w:type="dxa" w:w="2520"/>
          </w:tcPr>
          <w:p>
            <w:r>
              <w:rPr>
                <w:sz w:val="16"/>
              </w:rPr>
              <w:t>Ruta</w:t>
            </w:r>
          </w:p>
        </w:tc>
        <w:tc>
          <w:tcPr>
            <w:tcW w:type="dxa" w:w="2520"/>
          </w:tcPr>
          <w:p>
            <w:r>
              <w:rPr>
                <w:sz w:val="16"/>
              </w:rPr>
              <w:t>Objetivo</w:t>
            </w:r>
          </w:p>
        </w:tc>
        <w:tc>
          <w:tcPr>
            <w:tcW w:type="dxa" w:w="2520"/>
          </w:tcPr>
          <w:p>
            <w:r>
              <w:rPr>
                <w:sz w:val="16"/>
              </w:rPr>
              <w:t>Códigos declarados</w:t>
            </w:r>
          </w:p>
        </w:tc>
      </w:tr>
      <w:tr>
        <w:tc>
          <w:tcPr>
            <w:tcW w:type="dxa" w:w="2520"/>
          </w:tcPr>
          <w:p>
            <w:r>
              <w:rPr>
                <w:sz w:val="16"/>
              </w:rPr>
              <w:t>POST</w:t>
            </w:r>
          </w:p>
        </w:tc>
        <w:tc>
          <w:tcPr>
            <w:tcW w:type="dxa" w:w="2520"/>
          </w:tcPr>
          <w:p>
            <w:r>
              <w:rPr>
                <w:sz w:val="16"/>
              </w:rPr>
              <w:t>/api/v1/shipments</w:t>
            </w:r>
          </w:p>
        </w:tc>
        <w:tc>
          <w:tcPr>
            <w:tcW w:type="dxa" w:w="2520"/>
          </w:tcPr>
          <w:p>
            <w:r>
              <w:rPr>
                <w:sz w:val="16"/>
              </w:rPr>
              <w:t>Planear traslado y confirmar vínculo exclusivo con Inventario</w:t>
            </w:r>
          </w:p>
        </w:tc>
        <w:tc>
          <w:tcPr>
            <w:tcW w:type="dxa" w:w="2520"/>
          </w:tcPr>
          <w:p>
            <w:r>
              <w:rPr>
                <w:sz w:val="16"/>
              </w:rPr>
              <w:t>202, 400, 401, 403, 404, 406, 409, 413, 415, 422, 429, 500, 503</w:t>
            </w:r>
          </w:p>
        </w:tc>
      </w:tr>
      <w:tr>
        <w:tc>
          <w:tcPr>
            <w:tcW w:type="dxa" w:w="2520"/>
          </w:tcPr>
          <w:p>
            <w:r>
              <w:rPr>
                <w:sz w:val="16"/>
              </w:rPr>
              <w:t>GET</w:t>
            </w:r>
          </w:p>
        </w:tc>
        <w:tc>
          <w:tcPr>
            <w:tcW w:type="dxa" w:w="2520"/>
          </w:tcPr>
          <w:p>
            <w:r>
              <w:rPr>
                <w:sz w:val="16"/>
              </w:rPr>
              <w:t>/api/v1/shipments</w:t>
            </w:r>
          </w:p>
        </w:tc>
        <w:tc>
          <w:tcPr>
            <w:tcW w:type="dxa" w:w="2520"/>
          </w:tcPr>
          <w:p>
            <w:r>
              <w:rPr>
                <w:sz w:val="16"/>
              </w:rPr>
              <w:t>Traslados de la región, institución o responsable</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/api/v1/shipments/{identifier}</w:t>
            </w:r>
          </w:p>
        </w:tc>
        <w:tc>
          <w:tcPr>
            <w:tcW w:type="dxa" w:w="2520"/>
          </w:tcPr>
          <w:p>
            <w:r>
              <w:rPr>
                <w:sz w:val="16"/>
              </w:rPr>
              <w:t>Estado logístico y coordinación pendiente</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/api/v1/shipments/{identifier}/transitions</w:t>
            </w:r>
          </w:p>
        </w:tc>
        <w:tc>
          <w:tcPr>
            <w:tcW w:type="dxa" w:w="2520"/>
          </w:tcPr>
          <w:p>
            <w:r>
              <w:rPr>
                <w:sz w:val="16"/>
              </w:rPr>
              <w:t>Registrar paso autorizado y evento de custodia durable</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/api/v1/shipments/{identifier}/telemetry</w:t>
            </w:r>
          </w:p>
        </w:tc>
        <w:tc>
          <w:tcPr>
            <w:tcW w:type="dxa" w:w="2520"/>
          </w:tcPr>
          <w:p>
            <w:r>
              <w:rPr>
                <w:sz w:val="16"/>
              </w:rPr>
              <w:t>Ubicación solo del responsable durante traslado activo</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/api/v1/shipments/{identifier}/telemetry</w:t>
            </w:r>
          </w:p>
        </w:tc>
        <w:tc>
          <w:tcPr>
            <w:tcW w:type="dxa" w:w="2520"/>
          </w:tcPr>
          <w:p>
            <w:r>
              <w:rPr>
                <w:sz w:val="16"/>
              </w:rPr>
              <w:t>Historial de ubicación con autorización por traslado</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/internal/v1/shipments/{identifier}/access</w:t>
            </w:r>
          </w:p>
        </w:tc>
        <w:tc>
          <w:tcPr>
            <w:tcW w:type="dxa" w:w="2520"/>
          </w:tcPr>
          <w:p>
            <w:r>
              <w:rPr>
                <w:sz w:val="16"/>
              </w:rPr>
              <w:t>Autorizar consulta de custodia por asignación logística</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/api/v1/shipments/{identifier}/files</w:t>
            </w:r>
          </w:p>
        </w:tc>
        <w:tc>
          <w:tcPr>
            <w:tcW w:type="dxa" w:w="2520"/>
          </w:tcPr>
          <w:p>
            <w:r>
              <w:rPr>
                <w:sz w:val="16"/>
              </w:rPr>
              <w:t>Preparar carga privada con URL firmada de cinco minutos</w:t>
            </w:r>
          </w:p>
        </w:tc>
        <w:tc>
          <w:tcPr>
            <w:tcW w:type="dxa" w:w="2520"/>
          </w:tcPr>
          <w:p>
            <w:r>
              <w:rPr>
                <w:sz w:val="16"/>
              </w:rPr>
              <w:t>201, 400, 401, 403, 404, 406, 409, 413, 415, 422, 429, 500, 503</w:t>
            </w:r>
          </w:p>
        </w:tc>
      </w:tr>
      <w:tr>
        <w:tc>
          <w:tcPr>
            <w:tcW w:type="dxa" w:w="2520"/>
          </w:tcPr>
          <w:p>
            <w:r>
              <w:rPr>
                <w:sz w:val="16"/>
              </w:rPr>
              <w:t>GET</w:t>
            </w:r>
          </w:p>
        </w:tc>
        <w:tc>
          <w:tcPr>
            <w:tcW w:type="dxa" w:w="2520"/>
          </w:tcPr>
          <w:p>
            <w:r>
              <w:rPr>
                <w:sz w:val="16"/>
              </w:rPr>
              <w:t>/api/v1/shipments/{identifier}/files</w:t>
            </w:r>
          </w:p>
        </w:tc>
        <w:tc>
          <w:tcPr>
            <w:tcW w:type="dxa" w:w="2520"/>
          </w:tcPr>
          <w:p>
            <w:r>
              <w:rPr>
                <w:sz w:val="16"/>
              </w:rPr>
              <w:t>Evidencias del traslado y estado persistente de validación</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/api/v1/files/{identifier}/verify</w:t>
            </w:r>
          </w:p>
        </w:tc>
        <w:tc>
          <w:tcPr>
            <w:tcW w:type="dxa" w:w="2520"/>
          </w:tcPr>
          <w:p>
            <w:r>
              <w:rPr>
                <w:sz w:val="16"/>
              </w:rPr>
              <w:t>Verificar tamaño, MIME, firma de archivo y SHA-256 del objeto real</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/api/v1/files/{identifier}/download</w:t>
            </w:r>
          </w:p>
        </w:tc>
        <w:tc>
          <w:tcPr>
            <w:tcW w:type="dxa" w:w="2520"/>
          </w:tcPr>
          <w:p>
            <w:r>
              <w:rPr>
                <w:sz w:val="16"/>
              </w:rPr>
              <w:t>Descargar evidencia verificada mediante acceso temporal privado</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/api/v1/summary</w:t>
            </w:r>
          </w:p>
        </w:tc>
        <w:tc>
          <w:tcPr>
            <w:tcW w:type="dxa" w:w="2520"/>
          </w:tcPr>
          <w:p>
            <w:r>
              <w:rPr>
                <w:sz w:val="16"/>
              </w:rPr>
              <w:t>Indicadores agregados autorizados; no expone expedientes</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/api/v1/shipments/{identifier}/tracking</w:t>
            </w:r>
          </w:p>
        </w:tc>
        <w:tc>
          <w:tcPr>
            <w:tcW w:type="dxa" w:w="2520"/>
          </w:tcPr>
          <w:p>
            <w:r>
              <w:rPr>
                <w:sz w:val="16"/>
              </w:rPr>
              <w:t>Último paso documental con versión y referencia a PostgreSQL</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/api/v1/shipment-statistics</w:t>
            </w:r>
          </w:p>
        </w:tc>
        <w:tc>
          <w:tcPr>
            <w:tcW w:type="dxa" w:w="2520"/>
          </w:tcPr>
          <w:p>
            <w:r>
              <w:rPr>
                <w:sz w:val="16"/>
              </w:rPr>
              <w:t>Agregación regional del último paso documental de cada traslado</w:t>
            </w:r>
          </w:p>
        </w:tc>
        <w:tc>
          <w:tcPr>
            <w:tcW w:type="dxa" w:w="2520"/>
          </w:tcPr>
          <w:p>
            <w:r>
              <w:rPr>
                <w:sz w:val="16"/>
              </w:rPr>
              <w:t>200, 400, 401, 403, 404, 406, 409, 413, 415, 422, 429, 500, 503</w:t>
            </w:r>
          </w:p>
        </w:tc>
      </w:tr>
    </w:tbl>
    <w:p/>
    <w:p>
      <w:r>
        <w:t>Entradas y salidas: encabezados Authorization, Accept, Content-Type, X-Correlation-ID y Idempotency-Key según operación. Parámetros de ruta UUID y consulta/paginación constan en OpenAPI. Respuesta {data,meta} o {error,meta}, con representación XML equivalente. El contrato interno añade encabezados de firma del servicio; los valores secretos están redactados en evidencia.</w:t>
      </w:r>
    </w:p>
    <w:p>
      <w:r>
        <w:t>Pruebas: suite de apps/services/tests, expediente dinámico por método/ruta y pruebas Docker de negocio. Consultar RESULTADOS.md para resultados reales y limitaciones; no se considera probado un endpoint solo por aparecer en esta tabla.</w:t>
      </w:r>
    </w:p>
    <w:p>
      <w:pPr>
        <w:pStyle w:val="Heading2"/>
      </w:pPr>
      <w:r>
        <w:t>Cadena de custodia</w:t>
      </w:r>
    </w:p>
    <w:p>
      <w:r>
        <w:t>Conserva secuencia verificable de transferencias físicas y referencias de evidencia.</w:t>
      </w:r>
    </w:p>
    <w:p>
      <w:r>
        <w:t>Justificación y proceso: Transporte produce PLANNED, PREPARED, COLLECTED, IN_TRANSIT, DELIVERED y ACCEPTED; Custodia los incorpora sin duplicarlos ni admitir huecos.</w:t>
      </w:r>
    </w:p>
    <w:p>
      <w:r>
        <w:t>Integración declarada: puede invocar contratos internos de auditoria, transporte; acepta llamadas firmadas de transporte. Estas relaciones incluyen entrega de eventos. Monitoreo consulta además la salud pública de todos los componentes. Cada ruta conserva su lista específica de consumidores y delegación en OpenAPI.</w:t>
      </w:r>
    </w:p>
    <w:p>
      <w:r>
        <w:t>Persistencia y relaciones: PostgreSQL mantiene el registro autoritativo con secuencia e historial protegido. MongoDB recibe la proyección documental. SHA-256 enlaza eventos; Redis valida identidad y acceso.</w:t>
      </w:r>
    </w:p>
    <w:p>
      <w:r>
        <w:t>Ámbito SQL: access_custodia. La correspondencia siguiente procede del SQL de instalación. Las tablas técnicas service_* filtran el propietario; las claves y relaciones completas constan en el catálogo físico.</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rPr>
                <w:sz w:val="16"/>
              </w:rPr>
              <w:t>Vista autorizada</w:t>
            </w:r>
          </w:p>
        </w:tc>
        <w:tc>
          <w:tcPr>
            <w:tcW w:type="dxa" w:w="5040"/>
          </w:tcPr>
          <w:p>
            <w:r>
              <w:rPr>
                <w:sz w:val="16"/>
              </w:rPr>
              <w:t>Tabla física compartida</w:t>
            </w:r>
          </w:p>
        </w:tc>
      </w:tr>
      <w:tr>
        <w:tc>
          <w:tcPr>
            <w:tcW w:type="dxa" w:w="5040"/>
          </w:tcPr>
          <w:p>
            <w:r>
              <w:rPr>
                <w:sz w:val="16"/>
              </w:rPr>
              <w:t>activity_events</w:t>
            </w:r>
          </w:p>
        </w:tc>
        <w:tc>
          <w:tcPr>
            <w:tcW w:type="dxa" w:w="5040"/>
          </w:tcPr>
          <w:p>
            <w:r>
              <w:rPr>
                <w:sz w:val="16"/>
              </w:rPr>
              <w:t>red_house.service_activity_events</w:t>
            </w:r>
          </w:p>
        </w:tc>
      </w:tr>
      <w:tr>
        <w:tc>
          <w:tcPr>
            <w:tcW w:type="dxa" w:w="5040"/>
          </w:tcPr>
          <w:p>
            <w:r>
              <w:rPr>
                <w:sz w:val="16"/>
              </w:rPr>
              <w:t>chains</w:t>
            </w:r>
          </w:p>
        </w:tc>
        <w:tc>
          <w:tcPr>
            <w:tcW w:type="dxa" w:w="5040"/>
          </w:tcPr>
          <w:p>
            <w:r>
              <w:rPr>
                <w:sz w:val="16"/>
              </w:rPr>
              <w:t>red_house.custody_chain</w:t>
            </w:r>
          </w:p>
        </w:tc>
      </w:tr>
      <w:tr>
        <w:tc>
          <w:tcPr>
            <w:tcW w:type="dxa" w:w="5040"/>
          </w:tcPr>
          <w:p>
            <w:r>
              <w:rPr>
                <w:sz w:val="16"/>
              </w:rPr>
              <w:t>custody_events</w:t>
            </w:r>
          </w:p>
        </w:tc>
        <w:tc>
          <w:tcPr>
            <w:tcW w:type="dxa" w:w="5040"/>
          </w:tcPr>
          <w:p>
            <w:r>
              <w:rPr>
                <w:sz w:val="16"/>
              </w:rPr>
              <w:t>red_house.custody_event</w:t>
            </w:r>
          </w:p>
        </w:tc>
      </w:tr>
      <w:tr>
        <w:tc>
          <w:tcPr>
            <w:tcW w:type="dxa" w:w="5040"/>
          </w:tcPr>
          <w:p>
            <w:r>
              <w:rPr>
                <w:sz w:val="16"/>
              </w:rPr>
              <w:t>decisions</w:t>
            </w:r>
          </w:p>
        </w:tc>
        <w:tc>
          <w:tcPr>
            <w:tcW w:type="dxa" w:w="5040"/>
          </w:tcPr>
          <w:p>
            <w:r>
              <w:rPr>
                <w:sz w:val="16"/>
              </w:rPr>
              <w:t>red_house.service_decisions</w:t>
            </w:r>
          </w:p>
        </w:tc>
      </w:tr>
      <w:tr>
        <w:tc>
          <w:tcPr>
            <w:tcW w:type="dxa" w:w="5040"/>
          </w:tcPr>
          <w:p>
            <w:r>
              <w:rPr>
                <w:sz w:val="16"/>
              </w:rPr>
              <w:t>idempotency</w:t>
            </w:r>
          </w:p>
        </w:tc>
        <w:tc>
          <w:tcPr>
            <w:tcW w:type="dxa" w:w="5040"/>
          </w:tcPr>
          <w:p>
            <w:r>
              <w:rPr>
                <w:sz w:val="16"/>
              </w:rPr>
              <w:t>red_house.service_idempotency</w:t>
            </w:r>
          </w:p>
        </w:tc>
      </w:tr>
      <w:tr>
        <w:tc>
          <w:tcPr>
            <w:tcW w:type="dxa" w:w="5040"/>
          </w:tcPr>
          <w:p>
            <w:r>
              <w:rPr>
                <w:sz w:val="16"/>
              </w:rPr>
              <w:t>inbox</w:t>
            </w:r>
          </w:p>
        </w:tc>
        <w:tc>
          <w:tcPr>
            <w:tcW w:type="dxa" w:w="5040"/>
          </w:tcPr>
          <w:p>
            <w:r>
              <w:rPr>
                <w:sz w:val="16"/>
              </w:rPr>
              <w:t>red_house.service_inbox</w:t>
            </w:r>
          </w:p>
        </w:tc>
      </w:tr>
      <w:tr>
        <w:tc>
          <w:tcPr>
            <w:tcW w:type="dxa" w:w="5040"/>
          </w:tcPr>
          <w:p>
            <w:r>
              <w:rPr>
                <w:sz w:val="16"/>
              </w:rPr>
              <w:t>outbox</w:t>
            </w:r>
          </w:p>
        </w:tc>
        <w:tc>
          <w:tcPr>
            <w:tcW w:type="dxa" w:w="5040"/>
          </w:tcPr>
          <w:p>
            <w:r>
              <w:rPr>
                <w:sz w:val="16"/>
              </w:rPr>
              <w:t>red_house.service_outbox</w:t>
            </w:r>
          </w:p>
        </w:tc>
      </w:tr>
      <w:tr>
        <w:tc>
          <w:tcPr>
            <w:tcW w:type="dxa" w:w="5040"/>
          </w:tcPr>
          <w:p>
            <w:r>
              <w:rPr>
                <w:sz w:val="16"/>
              </w:rPr>
              <w:t>schema_version</w:t>
            </w:r>
          </w:p>
        </w:tc>
        <w:tc>
          <w:tcPr>
            <w:tcW w:type="dxa" w:w="5040"/>
          </w:tcPr>
          <w:p>
            <w:r>
              <w:rPr>
                <w:sz w:val="16"/>
              </w:rPr>
              <w:t>red_house.service_schema_version</w:t>
            </w:r>
          </w:p>
        </w:tc>
      </w:tr>
      <w:tr>
        <w:tc>
          <w:tcPr>
            <w:tcW w:type="dxa" w:w="5040"/>
          </w:tcPr>
          <w:p>
            <w:r>
              <w:rPr>
                <w:sz w:val="16"/>
              </w:rPr>
              <w:t>worker_health</w:t>
            </w:r>
          </w:p>
        </w:tc>
        <w:tc>
          <w:tcPr>
            <w:tcW w:type="dxa" w:w="5040"/>
          </w:tcPr>
          <w:p>
            <w:r>
              <w:rPr>
                <w:sz w:val="16"/>
              </w:rPr>
              <w:t>red_house.service_worker_health</w:t>
            </w:r>
          </w:p>
        </w:tc>
      </w:tr>
    </w:tbl>
    <w:p/>
    <w:p>
      <w:r>
        <w:t>Despliegue: Dockerfile, dos instancias custodia-a/b, gateway http://127.0.0.1:6108 y Swagger /docs/. Configuración privada propia: DATABASE_URL, REDIS_URL, claves públicas JWT y de servicios, clave privada de firma interna y URLs del gateway. Solo Identidad conserva la clave privada JWT. Transporte añade configuración GCS; los cuatro propietarios documentales añaden MongoDB.</w:t>
      </w:r>
    </w:p>
    <w:p>
      <w:r>
        <w:t>Seguridad: JWT RS256 con Redis en cada operación protegida; rol y recurso según contrato. Rutas internas exigen firma, nonce y autoridad llamante. POST/PATCH de negocio conservan Idempotency-Key donde está declarado, versión y motivo cuando corresponde. GET autorizado genera auditoría; las transacciones publican eventos por outbox.</w:t>
      </w:r>
    </w:p>
    <w:p>
      <w:r>
        <w:t>Contratos: OpenAPI completo · Directorio JSON/XML/XSD · Ejecuciones HTTP.</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rPr>
                <w:sz w:val="16"/>
              </w:rPr>
              <w:t>Método</w:t>
            </w:r>
          </w:p>
        </w:tc>
        <w:tc>
          <w:tcPr>
            <w:tcW w:type="dxa" w:w="2520"/>
          </w:tcPr>
          <w:p>
            <w:r>
              <w:rPr>
                <w:sz w:val="16"/>
              </w:rPr>
              <w:t>Ruta</w:t>
            </w:r>
          </w:p>
        </w:tc>
        <w:tc>
          <w:tcPr>
            <w:tcW w:type="dxa" w:w="2520"/>
          </w:tcPr>
          <w:p>
            <w:r>
              <w:rPr>
                <w:sz w:val="16"/>
              </w:rPr>
              <w:t>Objetivo</w:t>
            </w:r>
          </w:p>
        </w:tc>
        <w:tc>
          <w:tcPr>
            <w:tcW w:type="dxa" w:w="2520"/>
          </w:tcPr>
          <w:p>
            <w:r>
              <w:rPr>
                <w:sz w:val="16"/>
              </w:rPr>
              <w:t>Códigos declarados</w:t>
            </w:r>
          </w:p>
        </w:tc>
      </w:tr>
      <w:tr>
        <w:tc>
          <w:tcPr>
            <w:tcW w:type="dxa" w:w="2520"/>
          </w:tcPr>
          <w:p>
            <w:r>
              <w:rPr>
                <w:sz w:val="16"/>
              </w:rPr>
              <w:t>POST</w:t>
            </w:r>
          </w:p>
        </w:tc>
        <w:tc>
          <w:tcPr>
            <w:tcW w:type="dxa" w:w="2520"/>
          </w:tcPr>
          <w:p>
            <w:r>
              <w:rPr>
                <w:sz w:val="16"/>
              </w:rPr>
              <w:t>/internal/v1/events</w:t>
            </w:r>
          </w:p>
        </w:tc>
        <w:tc>
          <w:tcPr>
            <w:tcW w:type="dxa" w:w="2520"/>
          </w:tcPr>
          <w:p>
            <w:r>
              <w:rPr>
                <w:sz w:val="16"/>
              </w:rPr>
              <w:t>Custodia secuencial, deduplicada e inmutable</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/api/v1/chains/{identifier}</w:t>
            </w:r>
          </w:p>
        </w:tc>
        <w:tc>
          <w:tcPr>
            <w:tcW w:type="dxa" w:w="2520"/>
          </w:tcPr>
          <w:p>
            <w:r>
              <w:rPr>
                <w:sz w:val="16"/>
              </w:rPr>
              <w:t>Consultar cadena; hash detecta alteraciones, no certifica veracidad física</w:t>
            </w:r>
          </w:p>
        </w:tc>
        <w:tc>
          <w:tcPr>
            <w:tcW w:type="dxa" w:w="2520"/>
          </w:tcPr>
          <w:p>
            <w:r>
              <w:rPr>
                <w:sz w:val="16"/>
              </w:rPr>
              <w:t>200, 400, 401, 403, 404, 406, 409, 413, 415, 422, 429, 500, 503</w:t>
            </w:r>
          </w:p>
        </w:tc>
      </w:tr>
    </w:tbl>
    <w:p/>
    <w:p>
      <w:r>
        <w:t>Entradas y salidas: encabezados Authorization, Accept, Content-Type, X-Correlation-ID y Idempotency-Key según operación. Parámetros de ruta UUID y consulta/paginación constan en OpenAPI. Respuesta {data,meta} o {error,meta}, con representación XML equivalente. El contrato interno añade encabezados de firma del servicio; los valores secretos están redactados en evidencia.</w:t>
      </w:r>
    </w:p>
    <w:p>
      <w:r>
        <w:t>Pruebas: suite de apps/services/tests, expediente dinámico por método/ruta y pruebas Docker de negocio. Consultar RESULTADOS.md para resultados reales y limitaciones; no se considera probado un endpoint solo por aparecer en esta tabla.</w:t>
      </w:r>
    </w:p>
    <w:p>
      <w:pPr>
        <w:pStyle w:val="Heading2"/>
      </w:pPr>
      <w:r>
        <w:t>Alertas</w:t>
      </w:r>
    </w:p>
    <w:p>
      <w:r>
        <w:t>Genera una bandeja de avisos por eventos y conserva su atención.</w:t>
      </w:r>
    </w:p>
    <w:p>
      <w:r>
        <w:t>Justificación y proceso: Una reserva avisa a las instituciones implicadas; una cita o evaluación de donante puede avisar a su cuenta específica.</w:t>
      </w:r>
    </w:p>
    <w:p>
      <w:r>
        <w:t>Integración declarada: puede invocar contratos internos de auditoria; acepta llamadas firmadas de donantes, inventario, monitoreo, receptores, transporte. Estas relaciones incluyen entrega de eventos. Monitoreo consulta además la salud pública de todos los componentes. Cada ruta conserva su lista específica de consumidores y delegación en OpenAPI.</w:t>
      </w:r>
    </w:p>
    <w:p>
      <w:r>
        <w:t>Persistencia y relaciones: PostgreSQL conserva alertas, destinatarios y acuses. Redis valida sesión y permisos. Eventos se deduplican por identificador.</w:t>
      </w:r>
    </w:p>
    <w:p>
      <w:r>
        <w:t>Ámbito SQL: access_alertas. La correspondencia siguiente procede del SQL de instalación. Las tablas técnicas service_* filtran el propietario; las claves y relaciones completas constan en el catálogo físico.</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rPr>
                <w:sz w:val="16"/>
              </w:rPr>
              <w:t>Vista autorizada</w:t>
            </w:r>
          </w:p>
        </w:tc>
        <w:tc>
          <w:tcPr>
            <w:tcW w:type="dxa" w:w="5040"/>
          </w:tcPr>
          <w:p>
            <w:r>
              <w:rPr>
                <w:sz w:val="16"/>
              </w:rPr>
              <w:t>Tabla física compartida</w:t>
            </w:r>
          </w:p>
        </w:tc>
      </w:tr>
      <w:tr>
        <w:tc>
          <w:tcPr>
            <w:tcW w:type="dxa" w:w="5040"/>
          </w:tcPr>
          <w:p>
            <w:r>
              <w:rPr>
                <w:sz w:val="16"/>
              </w:rPr>
              <w:t>activity_events</w:t>
            </w:r>
          </w:p>
        </w:tc>
        <w:tc>
          <w:tcPr>
            <w:tcW w:type="dxa" w:w="5040"/>
          </w:tcPr>
          <w:p>
            <w:r>
              <w:rPr>
                <w:sz w:val="16"/>
              </w:rPr>
              <w:t>red_house.service_activity_events</w:t>
            </w:r>
          </w:p>
        </w:tc>
      </w:tr>
      <w:tr>
        <w:tc>
          <w:tcPr>
            <w:tcW w:type="dxa" w:w="5040"/>
          </w:tcPr>
          <w:p>
            <w:r>
              <w:rPr>
                <w:sz w:val="16"/>
              </w:rPr>
              <w:t>alerts</w:t>
            </w:r>
          </w:p>
        </w:tc>
        <w:tc>
          <w:tcPr>
            <w:tcW w:type="dxa" w:w="5040"/>
          </w:tcPr>
          <w:p>
            <w:r>
              <w:rPr>
                <w:sz w:val="16"/>
              </w:rPr>
              <w:t>red_house.notification</w:t>
            </w:r>
          </w:p>
        </w:tc>
      </w:tr>
      <w:tr>
        <w:tc>
          <w:tcPr>
            <w:tcW w:type="dxa" w:w="5040"/>
          </w:tcPr>
          <w:p>
            <w:r>
              <w:rPr>
                <w:sz w:val="16"/>
              </w:rPr>
              <w:t>decisions</w:t>
            </w:r>
          </w:p>
        </w:tc>
        <w:tc>
          <w:tcPr>
            <w:tcW w:type="dxa" w:w="5040"/>
          </w:tcPr>
          <w:p>
            <w:r>
              <w:rPr>
                <w:sz w:val="16"/>
              </w:rPr>
              <w:t>red_house.service_decisions</w:t>
            </w:r>
          </w:p>
        </w:tc>
      </w:tr>
      <w:tr>
        <w:tc>
          <w:tcPr>
            <w:tcW w:type="dxa" w:w="5040"/>
          </w:tcPr>
          <w:p>
            <w:r>
              <w:rPr>
                <w:sz w:val="16"/>
              </w:rPr>
              <w:t>idempotency</w:t>
            </w:r>
          </w:p>
        </w:tc>
        <w:tc>
          <w:tcPr>
            <w:tcW w:type="dxa" w:w="5040"/>
          </w:tcPr>
          <w:p>
            <w:r>
              <w:rPr>
                <w:sz w:val="16"/>
              </w:rPr>
              <w:t>red_house.service_idempotency</w:t>
            </w:r>
          </w:p>
        </w:tc>
      </w:tr>
      <w:tr>
        <w:tc>
          <w:tcPr>
            <w:tcW w:type="dxa" w:w="5040"/>
          </w:tcPr>
          <w:p>
            <w:r>
              <w:rPr>
                <w:sz w:val="16"/>
              </w:rPr>
              <w:t>inbox</w:t>
            </w:r>
          </w:p>
        </w:tc>
        <w:tc>
          <w:tcPr>
            <w:tcW w:type="dxa" w:w="5040"/>
          </w:tcPr>
          <w:p>
            <w:r>
              <w:rPr>
                <w:sz w:val="16"/>
              </w:rPr>
              <w:t>red_house.service_inbox</w:t>
            </w:r>
          </w:p>
        </w:tc>
      </w:tr>
      <w:tr>
        <w:tc>
          <w:tcPr>
            <w:tcW w:type="dxa" w:w="5040"/>
          </w:tcPr>
          <w:p>
            <w:r>
              <w:rPr>
                <w:sz w:val="16"/>
              </w:rPr>
              <w:t>outbox</w:t>
            </w:r>
          </w:p>
        </w:tc>
        <w:tc>
          <w:tcPr>
            <w:tcW w:type="dxa" w:w="5040"/>
          </w:tcPr>
          <w:p>
            <w:r>
              <w:rPr>
                <w:sz w:val="16"/>
              </w:rPr>
              <w:t>red_house.service_outbox</w:t>
            </w:r>
          </w:p>
        </w:tc>
      </w:tr>
      <w:tr>
        <w:tc>
          <w:tcPr>
            <w:tcW w:type="dxa" w:w="5040"/>
          </w:tcPr>
          <w:p>
            <w:r>
              <w:rPr>
                <w:sz w:val="16"/>
              </w:rPr>
              <w:t>schema_version</w:t>
            </w:r>
          </w:p>
        </w:tc>
        <w:tc>
          <w:tcPr>
            <w:tcW w:type="dxa" w:w="5040"/>
          </w:tcPr>
          <w:p>
            <w:r>
              <w:rPr>
                <w:sz w:val="16"/>
              </w:rPr>
              <w:t>red_house.service_schema_version</w:t>
            </w:r>
          </w:p>
        </w:tc>
      </w:tr>
      <w:tr>
        <w:tc>
          <w:tcPr>
            <w:tcW w:type="dxa" w:w="5040"/>
          </w:tcPr>
          <w:p>
            <w:r>
              <w:rPr>
                <w:sz w:val="16"/>
              </w:rPr>
              <w:t>worker_health</w:t>
            </w:r>
          </w:p>
        </w:tc>
        <w:tc>
          <w:tcPr>
            <w:tcW w:type="dxa" w:w="5040"/>
          </w:tcPr>
          <w:p>
            <w:r>
              <w:rPr>
                <w:sz w:val="16"/>
              </w:rPr>
              <w:t>red_house.service_worker_health</w:t>
            </w:r>
          </w:p>
        </w:tc>
      </w:tr>
    </w:tbl>
    <w:p/>
    <w:p>
      <w:r>
        <w:t>Despliegue: Dockerfile, dos instancias alertas-a/b, gateway http://127.0.0.1:6109 y Swagger /docs/. Configuración privada propia: DATABASE_URL, REDIS_URL, claves públicas JWT y de servicios, clave privada de firma interna y URLs del gateway. Solo Identidad conserva la clave privada JWT. Transporte añade configuración GCS; los cuatro propietarios documentales añaden MongoDB.</w:t>
      </w:r>
    </w:p>
    <w:p>
      <w:r>
        <w:t>Seguridad: JWT RS256 con Redis en cada operación protegida; rol y recurso según contrato. Rutas internas exigen firma, nonce y autoridad llamante. POST/PATCH de negocio conservan Idempotency-Key donde está declarado, versión y motivo cuando corresponde. GET autorizado genera auditoría; las transacciones publican eventos por outbox.</w:t>
      </w:r>
    </w:p>
    <w:p>
      <w:r>
        <w:t>Contratos: OpenAPI completo · Directorio JSON/XML/XSD · Ejecuciones HTTP.</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rPr>
                <w:sz w:val="16"/>
              </w:rPr>
              <w:t>Método</w:t>
            </w:r>
          </w:p>
        </w:tc>
        <w:tc>
          <w:tcPr>
            <w:tcW w:type="dxa" w:w="2520"/>
          </w:tcPr>
          <w:p>
            <w:r>
              <w:rPr>
                <w:sz w:val="16"/>
              </w:rPr>
              <w:t>Ruta</w:t>
            </w:r>
          </w:p>
        </w:tc>
        <w:tc>
          <w:tcPr>
            <w:tcW w:type="dxa" w:w="2520"/>
          </w:tcPr>
          <w:p>
            <w:r>
              <w:rPr>
                <w:sz w:val="16"/>
              </w:rPr>
              <w:t>Objetivo</w:t>
            </w:r>
          </w:p>
        </w:tc>
        <w:tc>
          <w:tcPr>
            <w:tcW w:type="dxa" w:w="2520"/>
          </w:tcPr>
          <w:p>
            <w:r>
              <w:rPr>
                <w:sz w:val="16"/>
              </w:rPr>
              <w:t>Códigos declarados</w:t>
            </w:r>
          </w:p>
        </w:tc>
      </w:tr>
      <w:tr>
        <w:tc>
          <w:tcPr>
            <w:tcW w:type="dxa" w:w="2520"/>
          </w:tcPr>
          <w:p>
            <w:r>
              <w:rPr>
                <w:sz w:val="16"/>
              </w:rPr>
              <w:t>POST</w:t>
            </w:r>
          </w:p>
        </w:tc>
        <w:tc>
          <w:tcPr>
            <w:tcW w:type="dxa" w:w="2520"/>
          </w:tcPr>
          <w:p>
            <w:r>
              <w:rPr>
                <w:sz w:val="16"/>
              </w:rPr>
              <w:t>/internal/v1/events</w:t>
            </w:r>
          </w:p>
        </w:tc>
        <w:tc>
          <w:tcPr>
            <w:tcW w:type="dxa" w:w="2520"/>
          </w:tcPr>
          <w:p>
            <w:r>
              <w:rPr>
                <w:sz w:val="16"/>
              </w:rPr>
              <w:t>Generar alertas por evento con deduplicación y destinatarios explícitos</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/api/v1/alerts</w:t>
            </w:r>
          </w:p>
        </w:tc>
        <w:tc>
          <w:tcPr>
            <w:tcW w:type="dxa" w:w="2520"/>
          </w:tcPr>
          <w:p>
            <w:r>
              <w:rPr>
                <w:sz w:val="16"/>
              </w:rPr>
              <w:t>Bandeja autorizada: institución, rol y usuario</w:t>
            </w:r>
          </w:p>
        </w:tc>
        <w:tc>
          <w:tcPr>
            <w:tcW w:type="dxa" w:w="2520"/>
          </w:tcPr>
          <w:p>
            <w:r>
              <w:rPr>
                <w:sz w:val="16"/>
              </w:rPr>
              <w:t>200, 400, 401, 403, 404, 406, 409, 413, 415, 422, 429, 500, 503</w:t>
            </w:r>
          </w:p>
        </w:tc>
      </w:tr>
      <w:tr>
        <w:tc>
          <w:tcPr>
            <w:tcW w:type="dxa" w:w="2520"/>
          </w:tcPr>
          <w:p>
            <w:r>
              <w:rPr>
                <w:sz w:val="16"/>
              </w:rPr>
              <w:t>POST</w:t>
            </w:r>
          </w:p>
        </w:tc>
        <w:tc>
          <w:tcPr>
            <w:tcW w:type="dxa" w:w="2520"/>
          </w:tcPr>
          <w:p>
            <w:r>
              <w:rPr>
                <w:sz w:val="16"/>
              </w:rPr>
              <w:t>/api/v1/alerts/{identifier}/acknowledge</w:t>
            </w:r>
          </w:p>
        </w:tc>
        <w:tc>
          <w:tcPr>
            <w:tcW w:type="dxa" w:w="2520"/>
          </w:tcPr>
          <w:p>
            <w:r>
              <w:rPr>
                <w:sz w:val="16"/>
              </w:rPr>
              <w:t>Acusar recibo sin modificar el hecho de origen</w:t>
            </w:r>
          </w:p>
        </w:tc>
        <w:tc>
          <w:tcPr>
            <w:tcW w:type="dxa" w:w="2520"/>
          </w:tcPr>
          <w:p>
            <w:r>
              <w:rPr>
                <w:sz w:val="16"/>
              </w:rPr>
              <w:t>200, 400, 401, 403, 404, 406, 409, 413, 415, 422, 429, 500, 503</w:t>
            </w:r>
          </w:p>
        </w:tc>
      </w:tr>
    </w:tbl>
    <w:p/>
    <w:p>
      <w:r>
        <w:t>Entradas y salidas: encabezados Authorization, Accept, Content-Type, X-Correlation-ID y Idempotency-Key según operación. Parámetros de ruta UUID y consulta/paginación constan en OpenAPI. Respuesta {data,meta} o {error,meta}, con representación XML equivalente. El contrato interno añade encabezados de firma del servicio; los valores secretos están redactados en evidencia.</w:t>
      </w:r>
    </w:p>
    <w:p>
      <w:r>
        <w:t>Pruebas: suite de apps/services/tests, expediente dinámico por método/ruta y pruebas Docker de negocio. Consultar RESULTADOS.md para resultados reales y limitaciones; no se considera probado un endpoint solo por aparecer en esta tabla.</w:t>
      </w:r>
    </w:p>
    <w:p>
      <w:pPr>
        <w:pStyle w:val="Heading2"/>
      </w:pPr>
      <w:r>
        <w:t>Auditoría</w:t>
      </w:r>
    </w:p>
    <w:p>
      <w:r>
        <w:t>Recibe registros minimizados de accesos, cambios, evaluaciones y decisiones.</w:t>
      </w:r>
    </w:p>
    <w:p>
      <w:r>
        <w:t>Justificación y proceso: El cambio y su evento se guardan juntos en el servicio de origen. Auditoría recibe después el evento con reintentos y deduplicación.</w:t>
      </w:r>
    </w:p>
    <w:p>
      <w:r>
        <w:t>Integración declarada: puede invocar contratos internos de auditoria; acepta llamadas firmadas de alertas, auditoria, compatibilidad, custodia, donantes, identidad_acceso, inventario, monitoreo, priorizacion_geografia, receptores, transporte. Estas relaciones incluyen entrega de eventos. Monitoreo consulta además la salud pública de todos los componentes. Cada ruta conserva su lista específica de consumidores y delegación en OpenAPI.</w:t>
      </w:r>
    </w:p>
    <w:p>
      <w:r>
        <w:t>Persistencia y relaciones: PostgreSQL mantiene registro inmutable bajo credenciales de aplicación. MongoDB proporciona proyección documental flexible. Redis controla sesión, perfil Auditor y región.</w:t>
      </w:r>
    </w:p>
    <w:p>
      <w:r>
        <w:t>Ámbito SQL: access_auditoria. La correspondencia siguiente procede del SQL de instalación. Las tablas técnicas service_* filtran el propietario; las claves y relaciones completas constan en el catálogo físico.</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rPr>
                <w:sz w:val="16"/>
              </w:rPr>
              <w:t>Vista autorizada</w:t>
            </w:r>
          </w:p>
        </w:tc>
        <w:tc>
          <w:tcPr>
            <w:tcW w:type="dxa" w:w="5040"/>
          </w:tcPr>
          <w:p>
            <w:r>
              <w:rPr>
                <w:sz w:val="16"/>
              </w:rPr>
              <w:t>Tabla física compartida</w:t>
            </w:r>
          </w:p>
        </w:tc>
      </w:tr>
      <w:tr>
        <w:tc>
          <w:tcPr>
            <w:tcW w:type="dxa" w:w="5040"/>
          </w:tcPr>
          <w:p>
            <w:r>
              <w:rPr>
                <w:sz w:val="16"/>
              </w:rPr>
              <w:t>activity_events</w:t>
            </w:r>
          </w:p>
        </w:tc>
        <w:tc>
          <w:tcPr>
            <w:tcW w:type="dxa" w:w="5040"/>
          </w:tcPr>
          <w:p>
            <w:r>
              <w:rPr>
                <w:sz w:val="16"/>
              </w:rPr>
              <w:t>red_house.service_activity_events</w:t>
            </w:r>
          </w:p>
        </w:tc>
      </w:tr>
      <w:tr>
        <w:tc>
          <w:tcPr>
            <w:tcW w:type="dxa" w:w="5040"/>
          </w:tcPr>
          <w:p>
            <w:r>
              <w:rPr>
                <w:sz w:val="16"/>
              </w:rPr>
              <w:t>audit_events</w:t>
            </w:r>
          </w:p>
        </w:tc>
        <w:tc>
          <w:tcPr>
            <w:tcW w:type="dxa" w:w="5040"/>
          </w:tcPr>
          <w:p>
            <w:r>
              <w:rPr>
                <w:sz w:val="16"/>
              </w:rPr>
              <w:t>red_house.audit_event</w:t>
            </w:r>
          </w:p>
        </w:tc>
      </w:tr>
      <w:tr>
        <w:tc>
          <w:tcPr>
            <w:tcW w:type="dxa" w:w="5040"/>
          </w:tcPr>
          <w:p>
            <w:r>
              <w:rPr>
                <w:sz w:val="16"/>
              </w:rPr>
              <w:t>decisions</w:t>
            </w:r>
          </w:p>
        </w:tc>
        <w:tc>
          <w:tcPr>
            <w:tcW w:type="dxa" w:w="5040"/>
          </w:tcPr>
          <w:p>
            <w:r>
              <w:rPr>
                <w:sz w:val="16"/>
              </w:rPr>
              <w:t>red_house.service_decisions</w:t>
            </w:r>
          </w:p>
        </w:tc>
      </w:tr>
      <w:tr>
        <w:tc>
          <w:tcPr>
            <w:tcW w:type="dxa" w:w="5040"/>
          </w:tcPr>
          <w:p>
            <w:r>
              <w:rPr>
                <w:sz w:val="16"/>
              </w:rPr>
              <w:t>idempotency</w:t>
            </w:r>
          </w:p>
        </w:tc>
        <w:tc>
          <w:tcPr>
            <w:tcW w:type="dxa" w:w="5040"/>
          </w:tcPr>
          <w:p>
            <w:r>
              <w:rPr>
                <w:sz w:val="16"/>
              </w:rPr>
              <w:t>red_house.service_idempotency</w:t>
            </w:r>
          </w:p>
        </w:tc>
      </w:tr>
      <w:tr>
        <w:tc>
          <w:tcPr>
            <w:tcW w:type="dxa" w:w="5040"/>
          </w:tcPr>
          <w:p>
            <w:r>
              <w:rPr>
                <w:sz w:val="16"/>
              </w:rPr>
              <w:t>inbox</w:t>
            </w:r>
          </w:p>
        </w:tc>
        <w:tc>
          <w:tcPr>
            <w:tcW w:type="dxa" w:w="5040"/>
          </w:tcPr>
          <w:p>
            <w:r>
              <w:rPr>
                <w:sz w:val="16"/>
              </w:rPr>
              <w:t>red_house.service_inbox</w:t>
            </w:r>
          </w:p>
        </w:tc>
      </w:tr>
      <w:tr>
        <w:tc>
          <w:tcPr>
            <w:tcW w:type="dxa" w:w="5040"/>
          </w:tcPr>
          <w:p>
            <w:r>
              <w:rPr>
                <w:sz w:val="16"/>
              </w:rPr>
              <w:t>outbox</w:t>
            </w:r>
          </w:p>
        </w:tc>
        <w:tc>
          <w:tcPr>
            <w:tcW w:type="dxa" w:w="5040"/>
          </w:tcPr>
          <w:p>
            <w:r>
              <w:rPr>
                <w:sz w:val="16"/>
              </w:rPr>
              <w:t>red_house.service_outbox</w:t>
            </w:r>
          </w:p>
        </w:tc>
      </w:tr>
      <w:tr>
        <w:tc>
          <w:tcPr>
            <w:tcW w:type="dxa" w:w="5040"/>
          </w:tcPr>
          <w:p>
            <w:r>
              <w:rPr>
                <w:sz w:val="16"/>
              </w:rPr>
              <w:t>schema_version</w:t>
            </w:r>
          </w:p>
        </w:tc>
        <w:tc>
          <w:tcPr>
            <w:tcW w:type="dxa" w:w="5040"/>
          </w:tcPr>
          <w:p>
            <w:r>
              <w:rPr>
                <w:sz w:val="16"/>
              </w:rPr>
              <w:t>red_house.service_schema_version</w:t>
            </w:r>
          </w:p>
        </w:tc>
      </w:tr>
      <w:tr>
        <w:tc>
          <w:tcPr>
            <w:tcW w:type="dxa" w:w="5040"/>
          </w:tcPr>
          <w:p>
            <w:r>
              <w:rPr>
                <w:sz w:val="16"/>
              </w:rPr>
              <w:t>worker_health</w:t>
            </w:r>
          </w:p>
        </w:tc>
        <w:tc>
          <w:tcPr>
            <w:tcW w:type="dxa" w:w="5040"/>
          </w:tcPr>
          <w:p>
            <w:r>
              <w:rPr>
                <w:sz w:val="16"/>
              </w:rPr>
              <w:t>red_house.service_worker_health</w:t>
            </w:r>
          </w:p>
        </w:tc>
      </w:tr>
    </w:tbl>
    <w:p/>
    <w:p>
      <w:r>
        <w:t>Despliegue: Dockerfile, dos instancias auditoria-a/b, gateway http://127.0.0.1:6110 y Swagger /docs/. Configuración privada propia: DATABASE_URL, REDIS_URL, claves públicas JWT y de servicios, clave privada de firma interna y URLs del gateway. Solo Identidad conserva la clave privada JWT. Transporte añade configuración GCS; los cuatro propietarios documentales añaden MongoDB.</w:t>
      </w:r>
    </w:p>
    <w:p>
      <w:r>
        <w:t>Seguridad: JWT RS256 con Redis en cada operación protegida; rol y recurso según contrato. Rutas internas exigen firma, nonce y autoridad llamante. POST/PATCH de negocio conservan Idempotency-Key donde está declarado, versión y motivo cuando corresponde. GET autorizado genera auditoría; las transacciones publican eventos por outbox.</w:t>
      </w:r>
    </w:p>
    <w:p>
      <w:r>
        <w:t>Contratos: OpenAPI completo · Directorio JSON/XML/XSD · Ejecuciones HTTP.</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rPr>
                <w:sz w:val="16"/>
              </w:rPr>
              <w:t>Método</w:t>
            </w:r>
          </w:p>
        </w:tc>
        <w:tc>
          <w:tcPr>
            <w:tcW w:type="dxa" w:w="2520"/>
          </w:tcPr>
          <w:p>
            <w:r>
              <w:rPr>
                <w:sz w:val="16"/>
              </w:rPr>
              <w:t>Ruta</w:t>
            </w:r>
          </w:p>
        </w:tc>
        <w:tc>
          <w:tcPr>
            <w:tcW w:type="dxa" w:w="2520"/>
          </w:tcPr>
          <w:p>
            <w:r>
              <w:rPr>
                <w:sz w:val="16"/>
              </w:rPr>
              <w:t>Objetivo</w:t>
            </w:r>
          </w:p>
        </w:tc>
        <w:tc>
          <w:tcPr>
            <w:tcW w:type="dxa" w:w="2520"/>
          </w:tcPr>
          <w:p>
            <w:r>
              <w:rPr>
                <w:sz w:val="16"/>
              </w:rPr>
              <w:t>Códigos declarados</w:t>
            </w:r>
          </w:p>
        </w:tc>
      </w:tr>
      <w:tr>
        <w:tc>
          <w:tcPr>
            <w:tcW w:type="dxa" w:w="2520"/>
          </w:tcPr>
          <w:p>
            <w:r>
              <w:rPr>
                <w:sz w:val="16"/>
              </w:rPr>
              <w:t>POST</w:t>
            </w:r>
          </w:p>
        </w:tc>
        <w:tc>
          <w:tcPr>
            <w:tcW w:type="dxa" w:w="2520"/>
          </w:tcPr>
          <w:p>
            <w:r>
              <w:rPr>
                <w:sz w:val="16"/>
              </w:rPr>
              <w:t>/internal/v1/events</w:t>
            </w:r>
          </w:p>
        </w:tc>
        <w:tc>
          <w:tcPr>
            <w:tcW w:type="dxa" w:w="2520"/>
          </w:tcPr>
          <w:p>
            <w:r>
              <w:rPr>
                <w:sz w:val="16"/>
              </w:rPr>
              <w:t>Recibir registro minimizado y conservarlo de forma inmutable</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/api/v1/events</w:t>
            </w:r>
          </w:p>
        </w:tc>
        <w:tc>
          <w:tcPr>
            <w:tcW w:type="dxa" w:w="2520"/>
          </w:tcPr>
          <w:p>
            <w:r>
              <w:rPr>
                <w:sz w:val="16"/>
              </w:rPr>
              <w:t>Bitácora regional de solo lectura; sin credenciales ni contenido clínico</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/api/v1/events/{identifier}</w:t>
            </w:r>
          </w:p>
        </w:tc>
        <w:tc>
          <w:tcPr>
            <w:tcW w:type="dxa" w:w="2520"/>
          </w:tcPr>
          <w:p>
            <w:r>
              <w:rPr>
                <w:sz w:val="16"/>
              </w:rPr>
              <w:t>Evento auditable y correlación</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/api/v1/documentary-events</w:t>
            </w:r>
          </w:p>
        </w:tc>
        <w:tc>
          <w:tcPr>
            <w:tcW w:type="dxa" w:w="2520"/>
          </w:tcPr>
          <w:p>
            <w:r>
              <w:rPr>
                <w:sz w:val="16"/>
              </w:rPr>
              <w:t>Proyección documental MongoDB; puede estar pendiente de sincronización</w:t>
            </w:r>
          </w:p>
        </w:tc>
        <w:tc>
          <w:tcPr>
            <w:tcW w:type="dxa" w:w="2520"/>
          </w:tcPr>
          <w:p>
            <w:r>
              <w:rPr>
                <w:sz w:val="16"/>
              </w:rPr>
              <w:t>200, 400, 401, 403, 404, 406, 409, 413, 415, 422, 429, 500, 503</w:t>
            </w:r>
          </w:p>
        </w:tc>
      </w:tr>
    </w:tbl>
    <w:p/>
    <w:p>
      <w:r>
        <w:t>Entradas y salidas: encabezados Authorization, Accept, Content-Type, X-Correlation-ID y Idempotency-Key según operación. Parámetros de ruta UUID y consulta/paginación constan en OpenAPI. Respuesta {data,meta} o {error,meta}, con representación XML equivalente. El contrato interno añade encabezados de firma del servicio; los valores secretos están redactados en evidencia.</w:t>
      </w:r>
    </w:p>
    <w:p>
      <w:r>
        <w:t>Pruebas: suite de apps/services/tests, expediente dinámico por método/ruta y pruebas Docker de negocio. Consultar RESULTADOS.md para resultados reales y limitaciones; no se considera probado un endpoint solo por aparecer en esta tabla.</w:t>
      </w:r>
    </w:p>
    <w:p>
      <w:pPr>
        <w:pStyle w:val="Heading2"/>
      </w:pPr>
      <w:r>
        <w:t>Monitoreo</w:t>
      </w:r>
    </w:p>
    <w:p>
      <w:r>
        <w:t>Consulta salud y conserva disponibilidad, latencia, versión y dependencia que falla.</w:t>
      </w:r>
    </w:p>
    <w:p>
      <w:r>
        <w:t>Justificación y proceso: Con Redis detenido, el proceso sigue vivo, readiness se degrada y las operaciones protegidas fallan de forma cerrada.</w:t>
      </w:r>
    </w:p>
    <w:p>
      <w:r>
        <w:t>Integración declarada: puede invocar contratos internos de alertas, auditoria; no ofrece contratos internos firmados. Estas relaciones incluyen entrega de eventos. Monitoreo consulta además la salud pública de todos los componentes. Cada ruta conserva su lista específica de consumidores y delegación en OpenAPI.</w:t>
      </w:r>
    </w:p>
    <w:p>
      <w:r>
        <w:t>Persistencia y relaciones: HTTP requests consulta /health/ready; MongoDB guarda primero cada sondeo y PostgreSQL conserva las verificaciones. El estado puede consultarse desde MongoDB si PostgreSQL falla. Redis protege las consultas. El worker sondea cada 30 segundos.</w:t>
      </w:r>
    </w:p>
    <w:p>
      <w:r>
        <w:t>Ámbito SQL: access_monitoreo. La correspondencia siguiente procede del SQL de instalación. Las tablas técnicas service_* filtran el propietario; las claves y relaciones completas constan en el catálogo físico.</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rPr>
                <w:sz w:val="16"/>
              </w:rPr>
              <w:t>Vista autorizada</w:t>
            </w:r>
          </w:p>
        </w:tc>
        <w:tc>
          <w:tcPr>
            <w:tcW w:type="dxa" w:w="5040"/>
          </w:tcPr>
          <w:p>
            <w:r>
              <w:rPr>
                <w:sz w:val="16"/>
              </w:rPr>
              <w:t>Tabla física compartida</w:t>
            </w:r>
          </w:p>
        </w:tc>
      </w:tr>
      <w:tr>
        <w:tc>
          <w:tcPr>
            <w:tcW w:type="dxa" w:w="5040"/>
          </w:tcPr>
          <w:p>
            <w:r>
              <w:rPr>
                <w:sz w:val="16"/>
              </w:rPr>
              <w:t>activity_events</w:t>
            </w:r>
          </w:p>
        </w:tc>
        <w:tc>
          <w:tcPr>
            <w:tcW w:type="dxa" w:w="5040"/>
          </w:tcPr>
          <w:p>
            <w:r>
              <w:rPr>
                <w:sz w:val="16"/>
              </w:rPr>
              <w:t>red_house.service_activity_events</w:t>
            </w:r>
          </w:p>
        </w:tc>
      </w:tr>
      <w:tr>
        <w:tc>
          <w:tcPr>
            <w:tcW w:type="dxa" w:w="5040"/>
          </w:tcPr>
          <w:p>
            <w:r>
              <w:rPr>
                <w:sz w:val="16"/>
              </w:rPr>
              <w:t>checks</w:t>
            </w:r>
          </w:p>
        </w:tc>
        <w:tc>
          <w:tcPr>
            <w:tcW w:type="dxa" w:w="5040"/>
          </w:tcPr>
          <w:p>
            <w:r>
              <w:rPr>
                <w:sz w:val="16"/>
              </w:rPr>
              <w:t>red_house.service_health_check</w:t>
            </w:r>
          </w:p>
        </w:tc>
      </w:tr>
      <w:tr>
        <w:tc>
          <w:tcPr>
            <w:tcW w:type="dxa" w:w="5040"/>
          </w:tcPr>
          <w:p>
            <w:r>
              <w:rPr>
                <w:sz w:val="16"/>
              </w:rPr>
              <w:t>decisions</w:t>
            </w:r>
          </w:p>
        </w:tc>
        <w:tc>
          <w:tcPr>
            <w:tcW w:type="dxa" w:w="5040"/>
          </w:tcPr>
          <w:p>
            <w:r>
              <w:rPr>
                <w:sz w:val="16"/>
              </w:rPr>
              <w:t>red_house.service_decisions</w:t>
            </w:r>
          </w:p>
        </w:tc>
      </w:tr>
      <w:tr>
        <w:tc>
          <w:tcPr>
            <w:tcW w:type="dxa" w:w="5040"/>
          </w:tcPr>
          <w:p>
            <w:r>
              <w:rPr>
                <w:sz w:val="16"/>
              </w:rPr>
              <w:t>idempotency</w:t>
            </w:r>
          </w:p>
        </w:tc>
        <w:tc>
          <w:tcPr>
            <w:tcW w:type="dxa" w:w="5040"/>
          </w:tcPr>
          <w:p>
            <w:r>
              <w:rPr>
                <w:sz w:val="16"/>
              </w:rPr>
              <w:t>red_house.service_idempotency</w:t>
            </w:r>
          </w:p>
        </w:tc>
      </w:tr>
      <w:tr>
        <w:tc>
          <w:tcPr>
            <w:tcW w:type="dxa" w:w="5040"/>
          </w:tcPr>
          <w:p>
            <w:r>
              <w:rPr>
                <w:sz w:val="16"/>
              </w:rPr>
              <w:t>inbox</w:t>
            </w:r>
          </w:p>
        </w:tc>
        <w:tc>
          <w:tcPr>
            <w:tcW w:type="dxa" w:w="5040"/>
          </w:tcPr>
          <w:p>
            <w:r>
              <w:rPr>
                <w:sz w:val="16"/>
              </w:rPr>
              <w:t>red_house.service_inbox</w:t>
            </w:r>
          </w:p>
        </w:tc>
      </w:tr>
      <w:tr>
        <w:tc>
          <w:tcPr>
            <w:tcW w:type="dxa" w:w="5040"/>
          </w:tcPr>
          <w:p>
            <w:r>
              <w:rPr>
                <w:sz w:val="16"/>
              </w:rPr>
              <w:t>outbox</w:t>
            </w:r>
          </w:p>
        </w:tc>
        <w:tc>
          <w:tcPr>
            <w:tcW w:type="dxa" w:w="5040"/>
          </w:tcPr>
          <w:p>
            <w:r>
              <w:rPr>
                <w:sz w:val="16"/>
              </w:rPr>
              <w:t>red_house.service_outbox</w:t>
            </w:r>
          </w:p>
        </w:tc>
      </w:tr>
      <w:tr>
        <w:tc>
          <w:tcPr>
            <w:tcW w:type="dxa" w:w="5040"/>
          </w:tcPr>
          <w:p>
            <w:r>
              <w:rPr>
                <w:sz w:val="16"/>
              </w:rPr>
              <w:t>schema_version</w:t>
            </w:r>
          </w:p>
        </w:tc>
        <w:tc>
          <w:tcPr>
            <w:tcW w:type="dxa" w:w="5040"/>
          </w:tcPr>
          <w:p>
            <w:r>
              <w:rPr>
                <w:sz w:val="16"/>
              </w:rPr>
              <w:t>red_house.service_schema_version</w:t>
            </w:r>
          </w:p>
        </w:tc>
      </w:tr>
      <w:tr>
        <w:tc>
          <w:tcPr>
            <w:tcW w:type="dxa" w:w="5040"/>
          </w:tcPr>
          <w:p>
            <w:r>
              <w:rPr>
                <w:sz w:val="16"/>
              </w:rPr>
              <w:t>worker_health</w:t>
            </w:r>
          </w:p>
        </w:tc>
        <w:tc>
          <w:tcPr>
            <w:tcW w:type="dxa" w:w="5040"/>
          </w:tcPr>
          <w:p>
            <w:r>
              <w:rPr>
                <w:sz w:val="16"/>
              </w:rPr>
              <w:t>red_house.service_worker_health</w:t>
            </w:r>
          </w:p>
        </w:tc>
      </w:tr>
    </w:tbl>
    <w:p/>
    <w:p>
      <w:r>
        <w:t>Despliegue: Dockerfile, dos instancias monitoreo-a/b, gateway http://127.0.0.1:6111 y Swagger /docs/. Configuración privada propia: DATABASE_URL, REDIS_URL, claves públicas JWT y de servicios, clave privada de firma interna y URLs del gateway. Solo Identidad conserva la clave privada JWT. Transporte añade configuración GCS; los cuatro propietarios documentales añaden MongoDB.</w:t>
      </w:r>
    </w:p>
    <w:p>
      <w:r>
        <w:t>Seguridad: JWT RS256 con Redis en cada operación protegida; rol y recurso según contrato. Rutas internas exigen firma, nonce y autoridad llamante. POST/PATCH de negocio conservan Idempotency-Key donde está declarado, versión y motivo cuando corresponde. GET autorizado genera auditoría; las transacciones publican eventos por outbox.</w:t>
      </w:r>
    </w:p>
    <w:p>
      <w:r>
        <w:t>Contratos: OpenAPI completo · Directorio JSON/XML/XSD · Ejecuciones HTTP.</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rPr>
                <w:sz w:val="16"/>
              </w:rPr>
              <w:t>Método</w:t>
            </w:r>
          </w:p>
        </w:tc>
        <w:tc>
          <w:tcPr>
            <w:tcW w:type="dxa" w:w="2520"/>
          </w:tcPr>
          <w:p>
            <w:r>
              <w:rPr>
                <w:sz w:val="16"/>
              </w:rPr>
              <w:t>Ruta</w:t>
            </w:r>
          </w:p>
        </w:tc>
        <w:tc>
          <w:tcPr>
            <w:tcW w:type="dxa" w:w="2520"/>
          </w:tcPr>
          <w:p>
            <w:r>
              <w:rPr>
                <w:sz w:val="16"/>
              </w:rPr>
              <w:t>Objetivo</w:t>
            </w:r>
          </w:p>
        </w:tc>
        <w:tc>
          <w:tcPr>
            <w:tcW w:type="dxa" w:w="2520"/>
          </w:tcPr>
          <w:p>
            <w:r>
              <w:rPr>
                <w:sz w:val="16"/>
              </w:rPr>
              <w:t>Códigos declarados</w:t>
            </w:r>
          </w:p>
        </w:tc>
      </w:tr>
      <w:tr>
        <w:tc>
          <w:tcPr>
            <w:tcW w:type="dxa" w:w="2520"/>
          </w:tcPr>
          <w:p>
            <w:r>
              <w:rPr>
                <w:sz w:val="16"/>
              </w:rPr>
              <w:t>GET</w:t>
            </w:r>
          </w:p>
        </w:tc>
        <w:tc>
          <w:tcPr>
            <w:tcW w:type="dxa" w:w="2520"/>
          </w:tcPr>
          <w:p>
            <w:r>
              <w:rPr>
                <w:sz w:val="16"/>
              </w:rPr>
              <w:t>/api/v1/status</w:t>
            </w:r>
          </w:p>
        </w:tc>
        <w:tc>
          <w:tcPr>
            <w:tcW w:type="dxa" w:w="2520"/>
          </w:tcPr>
          <w:p>
            <w:r>
              <w:rPr>
                <w:sz w:val="16"/>
              </w:rPr>
              <w:t>Estado, promedio, último error, versión e historial resumido</w:t>
            </w:r>
          </w:p>
        </w:tc>
        <w:tc>
          <w:tcPr>
            <w:tcW w:type="dxa" w:w="2520"/>
          </w:tcPr>
          <w:p>
            <w:r>
              <w:rPr>
                <w:sz w:val="16"/>
              </w:rPr>
              <w:t>200, 400, 401, 403, 404, 406, 409, 413, 415, 422, 429, 500, 503</w:t>
            </w:r>
          </w:p>
        </w:tc>
      </w:tr>
      <w:tr>
        <w:tc>
          <w:tcPr>
            <w:tcW w:type="dxa" w:w="2520"/>
          </w:tcPr>
          <w:p>
            <w:r>
              <w:rPr>
                <w:sz w:val="16"/>
              </w:rPr>
              <w:t>GET</w:t>
            </w:r>
          </w:p>
        </w:tc>
        <w:tc>
          <w:tcPr>
            <w:tcW w:type="dxa" w:w="2520"/>
          </w:tcPr>
          <w:p>
            <w:r>
              <w:rPr>
                <w:sz w:val="16"/>
              </w:rPr>
              <w:t>/api/v1/checks</w:t>
            </w:r>
          </w:p>
        </w:tc>
        <w:tc>
          <w:tcPr>
            <w:tcW w:type="dxa" w:w="2520"/>
          </w:tcPr>
          <w:p>
            <w:r>
              <w:rPr>
                <w:sz w:val="16"/>
              </w:rPr>
              <w:t>Historial persistente de verificaciones</w:t>
            </w:r>
          </w:p>
        </w:tc>
        <w:tc>
          <w:tcPr>
            <w:tcW w:type="dxa" w:w="2520"/>
          </w:tcPr>
          <w:p>
            <w:r>
              <w:rPr>
                <w:sz w:val="16"/>
              </w:rPr>
              <w:t>200, 400, 401, 403, 404, 406, 409, 413, 415, 422, 429, 500, 503</w:t>
            </w:r>
          </w:p>
        </w:tc>
      </w:tr>
    </w:tbl>
    <w:p/>
    <w:p>
      <w:r>
        <w:t>Entradas y salidas: encabezados Authorization, Accept, Content-Type, X-Correlation-ID y Idempotency-Key según operación. Parámetros de ruta UUID y consulta/paginación constan en OpenAPI. Respuesta {data,meta} o {error,meta}, con representación XML equivalente. El contrato interno añade encabezados de firma del servicio; los valores secretos están redactados en evidencia.</w:t>
      </w:r>
    </w:p>
    <w:p>
      <w:r>
        <w:t>Pruebas: suite de apps/services/tests, expediente dinámico por método/ruta y pruebas Docker de negocio. Consultar RESULTADOS.md para resultados reales y limitaciones; no se considera probado un endpoint solo por aparecer en esta tabla.</w:t>
      </w:r>
    </w:p>
    <w:p>
      <w:pPr>
        <w:pStyle w:val="Heading2"/>
      </w:pPr>
      <w:r>
        <w:t>Referencias y archivos de esta sección</w:t>
      </w:r>
    </w:p>
    <w:p>
      <w:pPr>
        <w:pStyle w:val="Caption"/>
      </w:pPr>
      <w:r>
        <w:t>Directorio JSON/XML/XSD: apps/services/ms_alertas/contracts</w:t>
      </w:r>
    </w:p>
    <w:p>
      <w:pPr>
        <w:pStyle w:val="Caption"/>
      </w:pPr>
      <w:r>
        <w:t>Directorio JSON/XML/XSD: apps/services/ms_auditoria/contracts</w:t>
      </w:r>
    </w:p>
    <w:p>
      <w:pPr>
        <w:pStyle w:val="Caption"/>
      </w:pPr>
      <w:r>
        <w:t>Directorio JSON/XML/XSD: apps/services/ms_compatibilidad/contracts</w:t>
      </w:r>
    </w:p>
    <w:p>
      <w:pPr>
        <w:pStyle w:val="Caption"/>
      </w:pPr>
      <w:r>
        <w:t>Directorio JSON/XML/XSD: apps/services/ms_custodia/contracts</w:t>
      </w:r>
    </w:p>
    <w:p>
      <w:pPr>
        <w:pStyle w:val="Caption"/>
      </w:pPr>
      <w:r>
        <w:t>Directorio JSON/XML/XSD: apps/services/ms_donantes/contracts</w:t>
      </w:r>
    </w:p>
    <w:p>
      <w:pPr>
        <w:pStyle w:val="Caption"/>
      </w:pPr>
      <w:r>
        <w:t>Directorio JSON/XML/XSD: apps/services/ms_identidad_acceso/contracts</w:t>
      </w:r>
    </w:p>
    <w:p>
      <w:pPr>
        <w:pStyle w:val="Caption"/>
      </w:pPr>
      <w:r>
        <w:t>Directorio JSON/XML/XSD: apps/services/ms_inventario/contracts</w:t>
      </w:r>
    </w:p>
    <w:p>
      <w:pPr>
        <w:pStyle w:val="Caption"/>
      </w:pPr>
      <w:r>
        <w:t>Directorio JSON/XML/XSD: apps/services/ms_priorizacion_geografia/contracts</w:t>
      </w:r>
    </w:p>
    <w:p>
      <w:pPr>
        <w:pStyle w:val="Caption"/>
      </w:pPr>
      <w:r>
        <w:t>Directorio JSON/XML/XSD: apps/services/ms_receptores/contracts</w:t>
      </w:r>
    </w:p>
    <w:p>
      <w:pPr>
        <w:pStyle w:val="Caption"/>
      </w:pPr>
      <w:r>
        <w:t>Directorio JSON/XML/XSD: apps/services/ms_transporte/contracts</w:t>
      </w:r>
    </w:p>
    <w:p>
      <w:pPr>
        <w:pStyle w:val="Caption"/>
      </w:pPr>
      <w:r>
        <w:t>Directorio JSON/XML/XSD: apps/services/servicio_monitoreo/contracts</w:t>
      </w:r>
    </w:p>
    <w:p>
      <w:pPr>
        <w:pStyle w:val="Caption"/>
      </w:pPr>
      <w:r>
        <w:t>Dockerfile: apps/services/ms_alertas/Dockerfile</w:t>
      </w:r>
    </w:p>
    <w:p>
      <w:pPr>
        <w:pStyle w:val="Caption"/>
      </w:pPr>
      <w:r>
        <w:t>Dockerfile: apps/services/ms_auditoria/Dockerfile</w:t>
      </w:r>
    </w:p>
    <w:p>
      <w:pPr>
        <w:pStyle w:val="Caption"/>
      </w:pPr>
      <w:r>
        <w:t>Dockerfile: apps/services/ms_compatibilidad/Dockerfile</w:t>
      </w:r>
    </w:p>
    <w:p>
      <w:pPr>
        <w:pStyle w:val="Caption"/>
      </w:pPr>
      <w:r>
        <w:t>Dockerfile: apps/services/ms_custodia/Dockerfile</w:t>
      </w:r>
    </w:p>
    <w:p>
      <w:pPr>
        <w:pStyle w:val="Caption"/>
      </w:pPr>
      <w:r>
        <w:t>Dockerfile: apps/services/ms_donantes/Dockerfile</w:t>
      </w:r>
    </w:p>
    <w:p>
      <w:pPr>
        <w:pStyle w:val="Caption"/>
      </w:pPr>
      <w:r>
        <w:t>Dockerfile: apps/services/ms_identidad_acceso/Dockerfile</w:t>
      </w:r>
    </w:p>
    <w:p>
      <w:pPr>
        <w:pStyle w:val="Caption"/>
      </w:pPr>
      <w:r>
        <w:t>Dockerfile: apps/services/ms_inventario/Dockerfile</w:t>
      </w:r>
    </w:p>
    <w:p>
      <w:pPr>
        <w:pStyle w:val="Caption"/>
      </w:pPr>
      <w:r>
        <w:t>Dockerfile: apps/services/ms_priorizacion_geografia/Dockerfile</w:t>
      </w:r>
    </w:p>
    <w:p>
      <w:pPr>
        <w:pStyle w:val="Caption"/>
      </w:pPr>
      <w:r>
        <w:t>Dockerfile: apps/services/ms_receptores/Dockerfile</w:t>
      </w:r>
    </w:p>
    <w:p>
      <w:pPr>
        <w:pStyle w:val="Caption"/>
      </w:pPr>
      <w:r>
        <w:t>Dockerfile: apps/services/ms_transporte/Dockerfile</w:t>
      </w:r>
    </w:p>
    <w:p>
      <w:pPr>
        <w:pStyle w:val="Caption"/>
      </w:pPr>
      <w:r>
        <w:t>Dockerfile: apps/services/servicio_monitoreo/Dockerfile</w:t>
      </w:r>
    </w:p>
    <w:p>
      <w:pPr>
        <w:pStyle w:val="Caption"/>
      </w:pPr>
      <w:r>
        <w:t>Ejecuciones HTTP: documentation/evidencias/segundo-parcial/http/index.html</w:t>
      </w:r>
    </w:p>
    <w:p>
      <w:pPr>
        <w:pStyle w:val="Caption"/>
      </w:pPr>
      <w:r>
        <w:t>OpenAPI completo: apps/services/ms_alertas/contracts/openapi.json</w:t>
      </w:r>
    </w:p>
    <w:p>
      <w:pPr>
        <w:pStyle w:val="Caption"/>
      </w:pPr>
      <w:r>
        <w:t>OpenAPI completo: apps/services/ms_auditoria/contracts/openapi.json</w:t>
      </w:r>
    </w:p>
    <w:p>
      <w:pPr>
        <w:pStyle w:val="Caption"/>
      </w:pPr>
      <w:r>
        <w:t>OpenAPI completo: apps/services/ms_compatibilidad/contracts/openapi.json</w:t>
      </w:r>
    </w:p>
    <w:p>
      <w:pPr>
        <w:pStyle w:val="Caption"/>
      </w:pPr>
      <w:r>
        <w:t>OpenAPI completo: apps/services/ms_custodia/contracts/openapi.json</w:t>
      </w:r>
    </w:p>
    <w:p>
      <w:pPr>
        <w:pStyle w:val="Caption"/>
      </w:pPr>
      <w:r>
        <w:t>OpenAPI completo: apps/services/ms_donantes/contracts/openapi.json</w:t>
      </w:r>
    </w:p>
    <w:p>
      <w:pPr>
        <w:pStyle w:val="Caption"/>
      </w:pPr>
      <w:r>
        <w:t>OpenAPI completo: apps/services/ms_identidad_acceso/contracts/openapi.json</w:t>
      </w:r>
    </w:p>
    <w:p>
      <w:pPr>
        <w:pStyle w:val="Caption"/>
      </w:pPr>
      <w:r>
        <w:t>OpenAPI completo: apps/services/ms_inventario/contracts/openapi.json</w:t>
      </w:r>
    </w:p>
    <w:p>
      <w:pPr>
        <w:pStyle w:val="Caption"/>
      </w:pPr>
      <w:r>
        <w:t>OpenAPI completo: apps/services/ms_priorizacion_geografia/contracts/openapi.json</w:t>
      </w:r>
    </w:p>
    <w:p>
      <w:pPr>
        <w:pStyle w:val="Caption"/>
      </w:pPr>
      <w:r>
        <w:t>OpenAPI completo: apps/services/ms_receptores/contracts/openapi.json</w:t>
      </w:r>
    </w:p>
    <w:p>
      <w:pPr>
        <w:pStyle w:val="Caption"/>
      </w:pPr>
      <w:r>
        <w:t>OpenAPI completo: apps/services/ms_transporte/contracts/openapi.json</w:t>
      </w:r>
    </w:p>
    <w:p>
      <w:pPr>
        <w:pStyle w:val="Caption"/>
      </w:pPr>
      <w:r>
        <w:t>OpenAPI completo: apps/services/servicio_monitoreo/contracts/openapi.json</w:t>
      </w:r>
    </w:p>
    <w:p>
      <w:pPr>
        <w:pStyle w:val="Caption"/>
      </w:pPr>
      <w:r>
        <w:t>catálogo físico: documentation/segundo-parcial/Modelo_fisico.md</w:t>
      </w:r>
    </w:p>
    <w:p>
      <w:pPr>
        <w:pStyle w:val="Heading1"/>
      </w:pPr>
      <w:r>
        <w:t>Matriz de ejecución del segundo parcial</w:t>
      </w:r>
    </w:p>
    <w:p>
      <w:r>
        <w:t>Inicio: 15/10/2026. Entrega: 22/10/2026. Fuente: enunciado externo y</w:t>
        <w:br/>
        <w:t>stuff/prompts/completar_segundo_parcial.md. El árbol inicial estaba limpio.</w:t>
        <w:br/>
        <w:t>Las pruebas del 14 y 15 de octubre son antecedentes, no resultados de este cambio.</w:t>
      </w:r>
    </w:p>
    <w:tbl>
      <w:tblPr>
        <w:tblStyle w:val="LightShading-Accent1"/>
        <w:tblW w:type="auto" w:w="0"/>
        <w:tblLook w:firstColumn="1" w:firstRow="1" w:lastColumn="0" w:lastRow="0" w:noHBand="0" w:noVBand="1" w:val="04A0"/>
      </w:tblPr>
      <w:tblGrid>
        <w:gridCol w:w="2016"/>
        <w:gridCol w:w="2016"/>
        <w:gridCol w:w="2016"/>
        <w:gridCol w:w="2016"/>
        <w:gridCol w:w="2016"/>
      </w:tblGrid>
      <w:tr>
        <w:trPr>
          <w:tblHeader/>
        </w:trPr>
        <w:tc>
          <w:tcPr>
            <w:tcW w:type="dxa" w:w="2016"/>
          </w:tcPr>
          <w:p>
            <w:r>
              <w:rPr>
                <w:sz w:val="16"/>
              </w:rPr>
              <w:t>Requisito</w:t>
            </w:r>
          </w:p>
        </w:tc>
        <w:tc>
          <w:tcPr>
            <w:tcW w:type="dxa" w:w="2016"/>
          </w:tcPr>
          <w:p>
            <w:r>
              <w:rPr>
                <w:sz w:val="16"/>
              </w:rPr>
              <w:t>Estado inicial comprobado</w:t>
            </w:r>
          </w:p>
        </w:tc>
        <w:tc>
          <w:tcPr>
            <w:tcW w:type="dxa" w:w="2016"/>
          </w:tcPr>
          <w:p>
            <w:r>
              <w:rPr>
                <w:sz w:val="16"/>
              </w:rPr>
              <w:t>Cambio entregado</w:t>
            </w:r>
          </w:p>
        </w:tc>
        <w:tc>
          <w:tcPr>
            <w:tcW w:type="dxa" w:w="2016"/>
          </w:tcPr>
          <w:p>
            <w:r>
              <w:rPr>
                <w:sz w:val="16"/>
              </w:rPr>
              <w:t>Dependencias</w:t>
            </w:r>
          </w:p>
        </w:tc>
        <w:tc>
          <w:tcPr>
            <w:tcW w:type="dxa" w:w="2016"/>
          </w:tcPr>
          <w:p>
            <w:r>
              <w:rPr>
                <w:sz w:val="16"/>
              </w:rPr>
              <w:t>Criterio y evidencia final</w:t>
            </w:r>
          </w:p>
        </w:tc>
      </w:tr>
      <w:tr>
        <w:tc>
          <w:tcPr>
            <w:tcW w:type="dxa" w:w="2016"/>
          </w:tcPr>
          <w:p>
            <w:r>
              <w:rPr>
                <w:sz w:val="16"/>
              </w:rPr>
              <w:t>Continuidad web</w:t>
            </w:r>
          </w:p>
        </w:tc>
        <w:tc>
          <w:tcPr>
            <w:tcW w:type="dxa" w:w="2016"/>
          </w:tcPr>
          <w:p>
            <w:r>
              <w:rPr>
                <w:sz w:val="16"/>
              </w:rPr>
              <w:t>Portal exclusivamente HTTP</w:t>
            </w:r>
          </w:p>
        </w:tc>
        <w:tc>
          <w:tcPr>
            <w:tcW w:type="dxa" w:w="2016"/>
          </w:tcPr>
          <w:p>
            <w:r>
              <w:rPr>
                <w:sz w:val="16"/>
              </w:rPr>
              <w:t>Backend modular propio, reglas versionadas y workers autónomos</w:t>
            </w:r>
          </w:p>
        </w:tc>
        <w:tc>
          <w:tcPr>
            <w:tcW w:type="dxa" w:w="2016"/>
          </w:tcPr>
          <w:p>
            <w:r>
              <w:rPr>
                <w:sz w:val="16"/>
              </w:rPr>
              <w:t>PostgreSQL compartido, Redis y módulos autorizados</w:t>
            </w:r>
          </w:p>
        </w:tc>
        <w:tc>
          <w:tcPr>
            <w:tcW w:type="dxa" w:w="2016"/>
          </w:tcPr>
          <w:p>
            <w:r>
              <w:rPr>
                <w:sz w:val="16"/>
              </w:rPr>
              <w:t>Aprobado: sangre y órganos con las 22 API detenidas; Docker final; donación/procesamiento en la regresión</w:t>
            </w:r>
          </w:p>
        </w:tc>
      </w:tr>
      <w:tr>
        <w:tc>
          <w:tcPr>
            <w:tcW w:type="dxa" w:w="2016"/>
          </w:tcPr>
          <w:p>
            <w:r>
              <w:rPr>
                <w:sz w:val="16"/>
              </w:rPr>
              <w:t>Disponibilidad JSON/XML</w:t>
            </w:r>
          </w:p>
        </w:tc>
        <w:tc>
          <w:tcPr>
            <w:tcW w:type="dxa" w:w="2016"/>
          </w:tcPr>
          <w:p>
            <w:r>
              <w:rPr>
                <w:sz w:val="16"/>
              </w:rPr>
              <w:t>Una instancia por API</w:t>
            </w:r>
          </w:p>
        </w:tc>
        <w:tc>
          <w:tcPr>
            <w:tcW w:type="dxa" w:w="2016"/>
          </w:tcPr>
          <w:p>
            <w:r>
              <w:rPr>
                <w:sz w:val="16"/>
              </w:rPr>
              <w:t>Dos instancias de los once propietarios, incluida Identidad, más workers y DNS</w:t>
            </w:r>
          </w:p>
        </w:tc>
        <w:tc>
          <w:tcPr>
            <w:tcW w:type="dxa" w:w="2016"/>
          </w:tcPr>
          <w:p>
            <w:r>
              <w:rPr>
                <w:sz w:val="16"/>
              </w:rPr>
              <w:t>Gateway y contratos compatibles</w:t>
            </w:r>
          </w:p>
        </w:tc>
        <w:tc>
          <w:tcPr>
            <w:tcW w:type="dxa" w:w="2016"/>
          </w:tcPr>
          <w:p>
            <w:r>
              <w:rPr>
                <w:sz w:val="16"/>
              </w:rPr>
              <w:t>Aprobado: once réplicas A detenidas, flujo de órganos y consultas JSON/XML; actualización real de Inventario, 100 consultas 200 y altas persistidas</w:t>
            </w:r>
          </w:p>
        </w:tc>
      </w:tr>
      <w:tr>
        <w:tc>
          <w:tcPr>
            <w:tcW w:type="dxa" w:w="2016"/>
          </w:tcPr>
          <w:p>
            <w:r>
              <w:rPr>
                <w:sz w:val="16"/>
              </w:rPr>
              <w:t>PostgreSQL compartido</w:t>
            </w:r>
          </w:p>
        </w:tc>
        <w:tc>
          <w:tcPr>
            <w:tcW w:type="dxa" w:w="2016"/>
          </w:tcPr>
          <w:p>
            <w:r>
              <w:rPr>
                <w:sz w:val="16"/>
              </w:rPr>
              <w:t>Base red_house ya migrada</w:t>
            </w:r>
          </w:p>
        </w:tc>
        <w:tc>
          <w:tcPr>
            <w:tcW w:type="dxa" w:w="2016"/>
          </w:tcPr>
          <w:p>
            <w:r>
              <w:rPr>
                <w:sz w:val="16"/>
              </w:rPr>
              <w:t>Se conservan 71 tablas, permisos por servicio y vistas access_*</w:t>
            </w:r>
          </w:p>
        </w:tc>
        <w:tc>
          <w:tcPr>
            <w:tcW w:type="dxa" w:w="2016"/>
          </w:tcPr>
          <w:p>
            <w:r>
              <w:rPr>
                <w:sz w:val="16"/>
              </w:rPr>
              <w:t>Esquema versión 6 y credenciales separadas</w:t>
            </w:r>
          </w:p>
        </w:tc>
        <w:tc>
          <w:tcPr>
            <w:tcW w:type="dxa" w:w="2016"/>
          </w:tcPr>
          <w:p>
            <w:r>
              <w:rPr>
                <w:sz w:val="16"/>
              </w:rPr>
              <w:t>Aprobado: regresión, catálogo físico de 145 índices y restauración completa; entorno habitual conservado</w:t>
            </w:r>
          </w:p>
        </w:tc>
      </w:tr>
      <w:tr>
        <w:tc>
          <w:tcPr>
            <w:tcW w:type="dxa" w:w="2016"/>
          </w:tcPr>
          <w:p>
            <w:r>
              <w:rPr>
                <w:sz w:val="16"/>
              </w:rPr>
              <w:t>Docker</w:t>
            </w:r>
          </w:p>
        </w:tc>
        <w:tc>
          <w:tcPr>
            <w:tcW w:type="dxa" w:w="2016"/>
          </w:tcPr>
          <w:p>
            <w:r>
              <w:rPr>
                <w:sz w:val="16"/>
              </w:rPr>
              <w:t>Sin Dockerfile/Compose en el inicio del incremento</w:t>
            </w:r>
          </w:p>
        </w:tc>
        <w:tc>
          <w:tcPr>
            <w:tcW w:type="dxa" w:w="2016"/>
          </w:tcPr>
          <w:p>
            <w:r>
              <w:rPr>
                <w:sz w:val="16"/>
              </w:rPr>
              <w:t>Imágenes por propietario/web, redes, secretos, supervisión y volúmenes</w:t>
            </w:r>
          </w:p>
        </w:tc>
        <w:tc>
          <w:tcPr>
            <w:tcW w:type="dxa" w:w="2016"/>
          </w:tcPr>
          <w:p>
            <w:r>
              <w:rPr>
                <w:sz w:val="16"/>
              </w:rPr>
              <w:t>Docker Compose y acceso a registro de imágenes</w:t>
            </w:r>
          </w:p>
        </w:tc>
        <w:tc>
          <w:tcPr>
            <w:tcW w:type="dxa" w:w="2016"/>
          </w:tcPr>
          <w:p>
            <w:r>
              <w:rPr>
                <w:sz w:val="16"/>
              </w:rPr>
              <w:t>Aprobado: 27 contenedores saludables, continuidad, actualización y reinicio; clon limpio con ocho etapas, negocio real y bootstrap repetido</w:t>
            </w:r>
          </w:p>
        </w:tc>
      </w:tr>
      <w:tr>
        <w:tc>
          <w:tcPr>
            <w:tcW w:type="dxa" w:w="2016"/>
          </w:tcPr>
          <w:p>
            <w:r>
              <w:rPr>
                <w:sz w:val="16"/>
              </w:rPr>
              <w:t>MongoDB</w:t>
            </w:r>
          </w:p>
        </w:tc>
        <w:tc>
          <w:tcPr>
            <w:tcW w:type="dxa" w:w="2016"/>
          </w:tcPr>
          <w:p>
            <w:r>
              <w:rPr>
                <w:sz w:val="16"/>
              </w:rPr>
              <w:t>Eventos inmutables y pipelines de Monitoreo existentes</w:t>
            </w:r>
          </w:p>
        </w:tc>
        <w:tc>
          <w:tcPr>
            <w:tcW w:type="dxa" w:w="2016"/>
          </w:tcPr>
          <w:p>
            <w:r>
              <w:rPr>
                <w:sz w:val="16"/>
              </w:rPr>
              <w:t>Proyección mutable de seguimiento, índices y reconstrucción</w:t>
            </w:r>
          </w:p>
        </w:tc>
        <w:tc>
          <w:tcPr>
            <w:tcW w:type="dxa" w:w="2016"/>
          </w:tcPr>
          <w:p>
            <w:r>
              <w:rPr>
                <w:sz w:val="16"/>
              </w:rPr>
              <w:t>Roles documentales limitados y eventos SQL relacionados</w:t>
            </w:r>
          </w:p>
        </w:tc>
        <w:tc>
          <w:tcPr>
            <w:tcW w:type="dxa" w:w="2016"/>
          </w:tcPr>
          <w:p>
            <w:r>
              <w:rPr>
                <w:sz w:val="16"/>
              </w:rPr>
              <w:t>Aprobado: versión, duplicados, desorden, reconstrucción, filtrado, pipelines e índice IXSCAN; resultado</w:t>
            </w:r>
          </w:p>
        </w:tc>
      </w:tr>
      <w:tr>
        <w:tc>
          <w:tcPr>
            <w:tcW w:type="dxa" w:w="2016"/>
          </w:tcPr>
          <w:p>
            <w:r>
              <w:rPr>
                <w:sz w:val="16"/>
              </w:rPr>
              <w:t>Redis</w:t>
            </w:r>
          </w:p>
        </w:tc>
        <w:tc>
          <w:tcPr>
            <w:tcW w:type="dxa" w:w="2016"/>
          </w:tcPr>
          <w:p>
            <w:r>
              <w:rPr>
                <w:sz w:val="16"/>
              </w:rPr>
              <w:t>Sesiones, permisos y caché existentes</w:t>
            </w:r>
          </w:p>
        </w:tc>
        <w:tc>
          <w:tcPr>
            <w:tcW w:type="dxa" w:w="2016"/>
          </w:tcPr>
          <w:p>
            <w:r>
              <w:rPr>
                <w:sz w:val="16"/>
              </w:rPr>
              <w:t>Participación común de monolito y réplicas, TTL y revocación conservados</w:t>
            </w:r>
          </w:p>
        </w:tc>
        <w:tc>
          <w:tcPr>
            <w:tcW w:type="dxa" w:w="2016"/>
          </w:tcPr>
          <w:p>
            <w:r>
              <w:rPr>
                <w:sz w:val="16"/>
              </w:rPr>
              <w:t>ACL y claves por prefijo</w:t>
            </w:r>
          </w:p>
        </w:tc>
        <w:tc>
          <w:tcPr>
            <w:tcW w:type="dxa" w:w="2016"/>
          </w:tcPr>
          <w:p>
            <w:r>
              <w:rPr>
                <w:sz w:val="16"/>
              </w:rPr>
              <w:t>Aprobado: login/rotación/revocación, límites, nonce, caché y rechazo durante caída en regresión; evidencia SQL/Redis por endpoint</w:t>
            </w:r>
          </w:p>
        </w:tc>
      </w:tr>
      <w:tr>
        <w:tc>
          <w:tcPr>
            <w:tcW w:type="dxa" w:w="2016"/>
          </w:tcPr>
          <w:p>
            <w:r>
              <w:rPr>
                <w:sz w:val="16"/>
              </w:rPr>
              <w:t>GCS</w:t>
            </w:r>
          </w:p>
        </w:tc>
        <w:tc>
          <w:tcPr>
            <w:tcW w:type="dxa" w:w="2016"/>
          </w:tcPr>
          <w:p>
            <w:r>
              <w:rPr>
                <w:sz w:val="16"/>
              </w:rPr>
              <w:t>Adaptador sin bucket ni interfaz completa</w:t>
            </w:r>
          </w:p>
        </w:tc>
        <w:tc>
          <w:tcPr>
            <w:tcW w:type="dxa" w:w="2016"/>
          </w:tcPr>
          <w:p>
            <w:r>
              <w:rPr>
                <w:sz w:val="16"/>
              </w:rPr>
              <w:t>Flujo web privado, validación, estados y descarga firmada</w:t>
            </w:r>
          </w:p>
        </w:tc>
        <w:tc>
          <w:tcPr>
            <w:tcW w:type="dxa" w:w="2016"/>
          </w:tcPr>
          <w:p>
            <w:r>
              <w:rPr>
                <w:sz w:val="16"/>
              </w:rPr>
              <w:t>Recursos/IAM autorizados y ADC impersonada</w:t>
            </w:r>
          </w:p>
        </w:tc>
        <w:tc>
          <w:tcPr>
            <w:tcW w:type="dxa" w:w="2016"/>
          </w:tcPr>
          <w:p>
            <w:r>
              <w:rPr>
                <w:sz w:val="16"/>
              </w:rPr>
              <w:t>Aprobado: carga/descarga/hash, permiso público denegado, inválido, ausente, expirado y recuperación; GCS real, navegador</w:t>
            </w:r>
          </w:p>
        </w:tc>
      </w:tr>
      <w:tr>
        <w:tc>
          <w:tcPr>
            <w:tcW w:type="dxa" w:w="2016"/>
          </w:tcPr>
          <w:p>
            <w:r>
              <w:rPr>
                <w:sz w:val="16"/>
              </w:rPr>
              <w:t>Web y seguridad</w:t>
            </w:r>
          </w:p>
        </w:tc>
        <w:tc>
          <w:tcPr>
            <w:tcW w:type="dxa" w:w="2016"/>
          </w:tcPr>
          <w:p>
            <w:r>
              <w:rPr>
                <w:sz w:val="16"/>
              </w:rPr>
              <w:t>Procesos existentes y resultados históricos</w:t>
            </w:r>
          </w:p>
        </w:tc>
        <w:tc>
          <w:tcPr>
            <w:tcW w:type="dxa" w:w="2016"/>
          </w:tcPr>
          <w:p>
            <w:r>
              <w:rPr>
                <w:sz w:val="16"/>
              </w:rPr>
              <w:t>Integración autónoma, gestión de archivos y configuración privada corregida</w:t>
            </w:r>
          </w:p>
        </w:tc>
        <w:tc>
          <w:tcPr>
            <w:tcW w:type="dxa" w:w="2016"/>
          </w:tcPr>
          <w:p>
            <w:r>
              <w:rPr>
                <w:sz w:val="16"/>
              </w:rPr>
              <w:t>Roles institucionales, JWT y Redis</w:t>
            </w:r>
          </w:p>
        </w:tc>
        <w:tc>
          <w:tcPr>
            <w:tcW w:type="dxa" w:w="2016"/>
          </w:tcPr>
          <w:p>
            <w:r>
              <w:rPr>
                <w:sz w:val="16"/>
              </w:rPr>
              <w:t>Aprobado: 182 pruebas finales y 20 páginas de siete perfiles; Highcharts con datos comprobados, filtros/paginación y ancho 390</w:t>
            </w:r>
          </w:p>
        </w:tc>
      </w:tr>
      <w:tr>
        <w:tc>
          <w:tcPr>
            <w:tcW w:type="dxa" w:w="2016"/>
          </w:tcPr>
          <w:p>
            <w:r>
              <w:rPr>
                <w:sz w:val="16"/>
              </w:rPr>
              <w:t>JSON/XML/XSD e internas</w:t>
            </w:r>
          </w:p>
        </w:tc>
        <w:tc>
          <w:tcPr>
            <w:tcW w:type="dxa" w:w="2016"/>
          </w:tcPr>
          <w:p>
            <w:r>
              <w:rPr>
                <w:sz w:val="16"/>
              </w:rPr>
              <w:t>Contratos versionados existentes</w:t>
            </w:r>
          </w:p>
        </w:tc>
        <w:tc>
          <w:tcPr>
            <w:tcW w:type="dxa" w:w="2016"/>
          </w:tcPr>
          <w:p>
            <w:r>
              <w:rPr>
                <w:sz w:val="16"/>
              </w:rPr>
              <w:t>Contratos actualizados, ejemplos correctos/error, archivo/proyección y evidencia real</w:t>
            </w:r>
          </w:p>
        </w:tc>
        <w:tc>
          <w:tcPr>
            <w:tcW w:type="dxa" w:w="2016"/>
          </w:tcPr>
          <w:p>
            <w:r>
              <w:rPr>
                <w:sz w:val="16"/>
              </w:rPr>
              <w:t>Validadores, firmas Ed25519 y JWT delegado</w:t>
            </w:r>
          </w:p>
        </w:tc>
        <w:tc>
          <w:tcPr>
            <w:tcW w:type="dxa" w:w="2016"/>
          </w:tcPr>
          <w:p>
            <w:r>
              <w:rPr>
                <w:sz w:val="16"/>
              </w:rPr>
              <w:t>Aprobado: regresión, consultas Docker y expediente HTTP; Swagger ejecutado</w:t>
            </w:r>
          </w:p>
        </w:tc>
      </w:tr>
      <w:tr>
        <w:tc>
          <w:tcPr>
            <w:tcW w:type="dxa" w:w="2016"/>
          </w:tcPr>
          <w:p>
            <w:r>
              <w:rPr>
                <w:sz w:val="16"/>
              </w:rPr>
              <w:t>Evidencia por endpoint</w:t>
            </w:r>
          </w:p>
        </w:tc>
        <w:tc>
          <w:tcPr>
            <w:tcW w:type="dxa" w:w="2016"/>
          </w:tcPr>
          <w:p>
            <w:r>
              <w:rPr>
                <w:sz w:val="16"/>
              </w:rPr>
              <w:t>Ejemplos sin expediente exhaustivo</w:t>
            </w:r>
          </w:p>
        </w:tc>
        <w:tc>
          <w:tcPr>
            <w:tcW w:type="dxa" w:w="2016"/>
          </w:tcPr>
          <w:p>
            <w:r>
              <w:rPr>
                <w:sz w:val="16"/>
              </w:rPr>
              <w:t>Inventario dinámico, registros redactados, persistencia y capturas</w:t>
            </w:r>
          </w:p>
        </w:tc>
        <w:tc>
          <w:tcPr>
            <w:tcW w:type="dxa" w:w="2016"/>
          </w:tcPr>
          <w:p>
            <w:r>
              <w:rPr>
                <w:sz w:val="16"/>
              </w:rPr>
              <w:t>Pruebas finales y visor local</w:t>
            </w:r>
          </w:p>
        </w:tc>
        <w:tc>
          <w:tcPr>
            <w:tcW w:type="dxa" w:w="2016"/>
          </w:tcPr>
          <w:p>
            <w:r>
              <w:rPr>
                <w:sz w:val="16"/>
              </w:rPr>
              <w:t>Aprobado: 284/284 éxitos HTTP y capturas; 240 con error real; 44 GET de documentación fija con no aplicabilidad justificada; cobertura</w:t>
            </w:r>
          </w:p>
        </w:tc>
      </w:tr>
      <w:tr>
        <w:tc>
          <w:tcPr>
            <w:tcW w:type="dxa" w:w="2016"/>
          </w:tcPr>
          <w:p>
            <w:r>
              <w:rPr>
                <w:sz w:val="16"/>
              </w:rPr>
              <w:t>Fallos y recuperación</w:t>
            </w:r>
          </w:p>
        </w:tc>
        <w:tc>
          <w:tcPr>
            <w:tcW w:type="dxa" w:w="2016"/>
          </w:tcPr>
          <w:p>
            <w:r>
              <w:rPr>
                <w:sz w:val="16"/>
              </w:rPr>
              <w:t>Pruebas históricas</w:t>
            </w:r>
          </w:p>
        </w:tc>
        <w:tc>
          <w:tcPr>
            <w:tcW w:type="dxa" w:w="2016"/>
          </w:tcPr>
          <w:p>
            <w:r>
              <w:rPr>
                <w:sz w:val="16"/>
              </w:rPr>
              <w:t>Nuevas comprobaciones de dependencias, instancia, monolito y actualización</w:t>
            </w:r>
          </w:p>
        </w:tc>
        <w:tc>
          <w:tcPr>
            <w:tcW w:type="dxa" w:w="2016"/>
          </w:tcPr>
          <w:p>
            <w:r>
              <w:rPr>
                <w:sz w:val="16"/>
              </w:rPr>
              <w:t>Entornos aislados</w:t>
            </w:r>
          </w:p>
        </w:tc>
        <w:tc>
          <w:tcPr>
            <w:tcW w:type="dxa" w:w="2016"/>
          </w:tcPr>
          <w:p>
            <w:r>
              <w:rPr>
                <w:sz w:val="16"/>
              </w:rPr>
              <w:t>Aprobado: nueve controles Docker y una prueba complementaria de salud para los once propietarios; incidentes conservados</w:t>
            </w:r>
          </w:p>
        </w:tc>
      </w:tr>
      <w:tr>
        <w:tc>
          <w:tcPr>
            <w:tcW w:type="dxa" w:w="2016"/>
          </w:tcPr>
          <w:p>
            <w:r>
              <w:rPr>
                <w:sz w:val="16"/>
              </w:rPr>
              <w:t>Respaldo</w:t>
            </w:r>
          </w:p>
        </w:tc>
        <w:tc>
          <w:tcPr>
            <w:tcW w:type="dxa" w:w="2016"/>
          </w:tcPr>
          <w:p>
            <w:r>
              <w:rPr>
                <w:sz w:val="16"/>
              </w:rPr>
              <w:t>Procedimiento sin ensayo integral de este despliegue</w:t>
            </w:r>
          </w:p>
        </w:tc>
        <w:tc>
          <w:tcPr>
            <w:tcW w:type="dxa" w:w="2016"/>
          </w:tcPr>
          <w:p>
            <w:r>
              <w:rPr>
                <w:sz w:val="16"/>
              </w:rPr>
              <w:t>Exportación coordinada y restauración en tres contenedores nuevos</w:t>
            </w:r>
          </w:p>
        </w:tc>
        <w:tc>
          <w:tcPr>
            <w:tcW w:type="dxa" w:w="2016"/>
          </w:tcPr>
          <w:p>
            <w:r>
              <w:rPr>
                <w:sz w:val="16"/>
              </w:rPr>
              <w:t>Aplicaciones pausadas, secretos privados y volúmenes nuevos</w:t>
            </w:r>
          </w:p>
        </w:tc>
        <w:tc>
          <w:tcPr>
            <w:tcW w:type="dxa" w:w="2016"/>
          </w:tcPr>
          <w:p>
            <w:r>
              <w:rPr>
                <w:sz w:val="16"/>
              </w:rPr>
              <w:t>Aprobado: 71 tablas/15 122 filas SQL, 7 632 documentos MongoDB, usuarios/roles por hash y clave Redis con TTL; comparación</w:t>
            </w:r>
          </w:p>
        </w:tc>
      </w:tr>
      <w:tr>
        <w:tc>
          <w:tcPr>
            <w:tcW w:type="dxa" w:w="2016"/>
          </w:tcPr>
          <w:p>
            <w:r>
              <w:rPr>
                <w:sz w:val="16"/>
              </w:rPr>
              <w:t>Documento técnico</w:t>
            </w:r>
          </w:p>
        </w:tc>
        <w:tc>
          <w:tcPr>
            <w:tcW w:type="dxa" w:w="2016"/>
          </w:tcPr>
          <w:p>
            <w:r>
              <w:rPr>
                <w:sz w:val="16"/>
              </w:rPr>
              <w:t>Guías dispersas y revisión histórica</w:t>
            </w:r>
          </w:p>
        </w:tc>
        <w:tc>
          <w:tcPr>
            <w:tcW w:type="dxa" w:w="2016"/>
          </w:tcPr>
          <w:p>
            <w:r>
              <w:rPr>
                <w:sz w:val="16"/>
              </w:rPr>
              <w:t>Informe, once fichas, diagramas, catálogo físico y trazabilidad</w:t>
            </w:r>
          </w:p>
        </w:tc>
        <w:tc>
          <w:tcPr>
            <w:tcW w:type="dxa" w:w="2016"/>
          </w:tcPr>
          <w:p>
            <w:r>
              <w:rPr>
                <w:sz w:val="16"/>
              </w:rPr>
              <w:t>Código y resultados fechados</w:t>
            </w:r>
          </w:p>
        </w:tc>
        <w:tc>
          <w:tcPr>
            <w:tcW w:type="dxa" w:w="2016"/>
          </w:tcPr>
          <w:p>
            <w:r>
              <w:rPr>
                <w:sz w:val="16"/>
              </w:rPr>
              <w:t>Entregado: informe Word / PDF, modelo físico, once fichas y figuras actuales</w:t>
            </w:r>
          </w:p>
        </w:tc>
      </w:tr>
      <w:tr>
        <w:tc>
          <w:tcPr>
            <w:tcW w:type="dxa" w:w="2016"/>
          </w:tcPr>
          <w:p>
            <w:r>
              <w:rPr>
                <w:sz w:val="16"/>
              </w:rPr>
              <w:t>Presentación</w:t>
            </w:r>
          </w:p>
        </w:tc>
        <w:tc>
          <w:tcPr>
            <w:tcW w:type="dxa" w:w="2016"/>
          </w:tcPr>
          <w:p>
            <w:r>
              <w:rPr>
                <w:sz w:val="16"/>
              </w:rPr>
              <w:t>Apuntes individuales</w:t>
            </w:r>
          </w:p>
        </w:tc>
        <w:tc>
          <w:tcPr>
            <w:tcW w:type="dxa" w:w="2016"/>
          </w:tcPr>
          <w:p>
            <w:r>
              <w:rPr>
                <w:sz w:val="16"/>
              </w:rPr>
              <w:t>Guion presencial y de video, reparto por responsabilidad y demo reproducible</w:t>
            </w:r>
          </w:p>
        </w:tc>
        <w:tc>
          <w:tcPr>
            <w:tcW w:type="dxa" w:w="2016"/>
          </w:tcPr>
          <w:p>
            <w:r>
              <w:rPr>
                <w:sz w:val="16"/>
              </w:rPr>
              <w:t>Participación y publicación reales del equipo</w:t>
            </w:r>
          </w:p>
        </w:tc>
        <w:tc>
          <w:tcPr>
            <w:tcW w:type="dxa" w:w="2016"/>
          </w:tcPr>
          <w:p>
            <w:r>
              <w:rPr>
                <w:sz w:val="16"/>
              </w:rPr>
              <w:t>Material preparado; requisito externo pendiente: ensayo, presentación, grabación, publicación y enlace de YouTube</w:t>
            </w:r>
          </w:p>
        </w:tc>
      </w:tr>
    </w:tbl>
    <w:p/>
    <w:p>
      <w:pPr>
        <w:pStyle w:val="Heading2"/>
      </w:pPr>
      <w:r>
        <w:t>Decisión de continuidad</w:t>
      </w:r>
    </w:p>
    <w:p>
      <w:r>
        <w:t>El monolito ejecuta dentro de su proceso los módulos de aplicación distribuidos</w:t>
        <w:br/>
        <w:t>también en las imágenes de cada servicio. El adaptador WSGI conserva validación,</w:t>
        <w:br/>
        <w:t>JWT, autorización Redis, firmas internas, transacciones e idempotencia. No inicia</w:t>
        <w:br/>
        <w:t>servidores HTTP internos ni cambia de backend tras un error. Cada módulo usa</w:t>
        <w:br/>
        <w:t>credenciales limitadas a sus vistas del esquema compartido. La entrega fija el</w:t>
        <w:br/>
        <w:t>código con versión y manifiesto; actualizar una API no cambia el monolito en uso.</w:t>
      </w:r>
    </w:p>
    <w:p>
      <w:r>
        <w:t>Los workers propios del monolito entregan el outbox mediante el mismo adaptador.</w:t>
        <w:br/>
        <w:t>Los workers de las API usan enrutamiento HTTP. Comparten colas con bloqueo SQL y</w:t>
        <w:br/>
        <w:t>consumidores idempotentes. No hay doble escritura de entidades ni copia de reglas.</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rPr>
                <w:sz w:val="16"/>
              </w:rPr>
              <w:t>Fallo</w:t>
            </w:r>
          </w:p>
        </w:tc>
        <w:tc>
          <w:tcPr>
            <w:tcW w:type="dxa" w:w="2520"/>
          </w:tcPr>
          <w:p>
            <w:r>
              <w:rPr>
                <w:sz w:val="16"/>
              </w:rPr>
              <w:t>Web modular</w:t>
            </w:r>
          </w:p>
        </w:tc>
        <w:tc>
          <w:tcPr>
            <w:tcW w:type="dxa" w:w="2520"/>
          </w:tcPr>
          <w:p>
            <w:r>
              <w:rPr>
                <w:sz w:val="16"/>
              </w:rPr>
              <w:t>Clientes JSON/XML</w:t>
            </w:r>
          </w:p>
        </w:tc>
        <w:tc>
          <w:tcPr>
            <w:tcW w:type="dxa" w:w="2520"/>
          </w:tcPr>
          <w:p>
            <w:r>
              <w:rPr>
                <w:sz w:val="16"/>
              </w:rPr>
              <w:t>Límite</w:t>
            </w:r>
          </w:p>
        </w:tc>
      </w:tr>
      <w:tr>
        <w:tc>
          <w:tcPr>
            <w:tcW w:type="dxa" w:w="2520"/>
          </w:tcPr>
          <w:p>
            <w:r>
              <w:rPr>
                <w:sz w:val="16"/>
              </w:rPr>
              <w:t>Una instancia API o worker</w:t>
            </w:r>
          </w:p>
        </w:tc>
        <w:tc>
          <w:tcPr>
            <w:tcW w:type="dxa" w:w="2520"/>
          </w:tcPr>
          <w:p>
            <w:r>
              <w:rPr>
                <w:sz w:val="16"/>
              </w:rPr>
              <w:t>Opera con módulos y workers propios</w:t>
            </w:r>
          </w:p>
        </w:tc>
        <w:tc>
          <w:tcPr>
            <w:tcW w:type="dxa" w:w="2520"/>
          </w:tcPr>
          <w:p>
            <w:r>
              <w:rPr>
                <w:sz w:val="16"/>
              </w:rPr>
              <w:t>Enruta a instancia restante</w:t>
            </w:r>
          </w:p>
        </w:tc>
        <w:tc>
          <w:tcPr>
            <w:tcW w:type="dxa" w:w="2520"/>
          </w:tcPr>
          <w:p>
            <w:r>
              <w:rPr>
                <w:sz w:val="16"/>
              </w:rPr>
              <w:t>Respuesta perdida tras escritura exige consultar operación/idempotencia</w:t>
            </w:r>
          </w:p>
        </w:tc>
      </w:tr>
      <w:tr>
        <w:tc>
          <w:tcPr>
            <w:tcW w:type="dxa" w:w="2520"/>
          </w:tcPr>
          <w:p>
            <w:r>
              <w:rPr>
                <w:sz w:val="16"/>
              </w:rPr>
              <w:t>Todas las instancias de un propietario API</w:t>
            </w:r>
          </w:p>
        </w:tc>
        <w:tc>
          <w:tcPr>
            <w:tcW w:type="dxa" w:w="2520"/>
          </w:tcPr>
          <w:p>
            <w:r>
              <w:rPr>
                <w:sz w:val="16"/>
              </w:rPr>
              <w:t>Opera mientras sus dependencias de datos estén disponibles</w:t>
            </w:r>
          </w:p>
        </w:tc>
        <w:tc>
          <w:tcPr>
            <w:tcW w:type="dxa" w:w="2520"/>
          </w:tcPr>
          <w:p>
            <w:r>
              <w:rPr>
                <w:sz w:val="16"/>
              </w:rPr>
              <w:t>Operaciones dependientes fallan controladamente</w:t>
            </w:r>
          </w:p>
        </w:tc>
        <w:tc>
          <w:tcPr>
            <w:tcW w:type="dxa" w:w="2520"/>
          </w:tcPr>
          <w:p>
            <w:r>
              <w:rPr>
                <w:sz w:val="16"/>
              </w:rPr>
              <w:t>No se afirma continuidad API sin autoridad disponible</w:t>
            </w:r>
          </w:p>
        </w:tc>
      </w:tr>
      <w:tr>
        <w:tc>
          <w:tcPr>
            <w:tcW w:type="dxa" w:w="2520"/>
          </w:tcPr>
          <w:p>
            <w:r>
              <w:rPr>
                <w:sz w:val="16"/>
              </w:rPr>
              <w:t>Redis</w:t>
            </w:r>
          </w:p>
        </w:tc>
        <w:tc>
          <w:tcPr>
            <w:tcW w:type="dxa" w:w="2520"/>
          </w:tcPr>
          <w:p>
            <w:r>
              <w:rPr>
                <w:sz w:val="16"/>
              </w:rPr>
              <w:t>Rechaza operaciones protegidas</w:t>
            </w:r>
          </w:p>
        </w:tc>
        <w:tc>
          <w:tcPr>
            <w:tcW w:type="dxa" w:w="2520"/>
          </w:tcPr>
          <w:p>
            <w:r>
              <w:rPr>
                <w:sz w:val="16"/>
              </w:rPr>
              <w:t>Rechaza operaciones protegidas</w:t>
            </w:r>
          </w:p>
        </w:tc>
        <w:tc>
          <w:tcPr>
            <w:tcW w:type="dxa" w:w="2520"/>
          </w:tcPr>
          <w:p>
            <w:r>
              <w:rPr>
                <w:sz w:val="16"/>
              </w:rPr>
              <w:t>No se omite autenticación</w:t>
            </w:r>
          </w:p>
        </w:tc>
      </w:tr>
      <w:tr>
        <w:tc>
          <w:tcPr>
            <w:tcW w:type="dxa" w:w="2520"/>
          </w:tcPr>
          <w:p>
            <w:r>
              <w:rPr>
                <w:sz w:val="16"/>
              </w:rPr>
              <w:t>PostgreSQL</w:t>
            </w:r>
          </w:p>
        </w:tc>
        <w:tc>
          <w:tcPr>
            <w:tcW w:type="dxa" w:w="2520"/>
          </w:tcPr>
          <w:p>
            <w:r>
              <w:rPr>
                <w:sz w:val="16"/>
              </w:rPr>
              <w:t>Operaciones transaccionales indisponibles</w:t>
            </w:r>
          </w:p>
        </w:tc>
        <w:tc>
          <w:tcPr>
            <w:tcW w:type="dxa" w:w="2520"/>
          </w:tcPr>
          <w:p>
            <w:r>
              <w:rPr>
                <w:sz w:val="16"/>
              </w:rPr>
              <w:t>Operaciones transaccionales indisponibles</w:t>
            </w:r>
          </w:p>
        </w:tc>
        <w:tc>
          <w:tcPr>
            <w:tcW w:type="dxa" w:w="2520"/>
          </w:tcPr>
          <w:p>
            <w:r>
              <w:rPr>
                <w:sz w:val="16"/>
              </w:rPr>
              <w:t>No hay réplica de infraestructura en este alcance</w:t>
            </w:r>
          </w:p>
        </w:tc>
      </w:tr>
      <w:tr>
        <w:tc>
          <w:tcPr>
            <w:tcW w:type="dxa" w:w="2520"/>
          </w:tcPr>
          <w:p>
            <w:r>
              <w:rPr>
                <w:sz w:val="16"/>
              </w:rPr>
              <w:t>MongoDB</w:t>
            </w:r>
          </w:p>
        </w:tc>
        <w:tc>
          <w:tcPr>
            <w:tcW w:type="dxa" w:w="2520"/>
          </w:tcPr>
          <w:p>
            <w:r>
              <w:rPr>
                <w:sz w:val="16"/>
              </w:rPr>
              <w:t>SQL conserva outbox; consulta documental degradada</w:t>
            </w:r>
          </w:p>
        </w:tc>
        <w:tc>
          <w:tcPr>
            <w:tcW w:type="dxa" w:w="2520"/>
          </w:tcPr>
          <w:p>
            <w:r>
              <w:rPr>
                <w:sz w:val="16"/>
              </w:rPr>
              <w:t>Mismo comportamiento</w:t>
            </w:r>
          </w:p>
        </w:tc>
        <w:tc>
          <w:tcPr>
            <w:tcW w:type="dxa" w:w="2520"/>
          </w:tcPr>
          <w:p>
            <w:r>
              <w:rPr>
                <w:sz w:val="16"/>
              </w:rPr>
              <w:t>Recuperación y deduplicación posterior</w:t>
            </w:r>
          </w:p>
        </w:tc>
      </w:tr>
      <w:tr>
        <w:tc>
          <w:tcPr>
            <w:tcW w:type="dxa" w:w="2520"/>
          </w:tcPr>
          <w:p>
            <w:r>
              <w:rPr>
                <w:sz w:val="16"/>
              </w:rPr>
              <w:t>GCS</w:t>
            </w:r>
          </w:p>
        </w:tc>
        <w:tc>
          <w:tcPr>
            <w:tcW w:type="dxa" w:w="2520"/>
          </w:tcPr>
          <w:p>
            <w:r>
              <w:rPr>
                <w:sz w:val="16"/>
              </w:rPr>
              <w:t>Operaciones sin archivos continúan; archivo pendiente/error</w:t>
            </w:r>
          </w:p>
        </w:tc>
        <w:tc>
          <w:tcPr>
            <w:tcW w:type="dxa" w:w="2520"/>
          </w:tcPr>
          <w:p>
            <w:r>
              <w:rPr>
                <w:sz w:val="16"/>
              </w:rPr>
              <w:t>Mismo comportamiento</w:t>
            </w:r>
          </w:p>
        </w:tc>
        <w:tc>
          <w:tcPr>
            <w:tcW w:type="dxa" w:w="2520"/>
          </w:tcPr>
          <w:p>
            <w:r>
              <w:rPr>
                <w:sz w:val="16"/>
              </w:rPr>
              <w:t>No se declara verificado un objeto no comprobado</w:t>
            </w:r>
          </w:p>
        </w:tc>
      </w:tr>
    </w:tbl>
    <w:p/>
    <w:p>
      <w:pPr>
        <w:pStyle w:val="Heading2"/>
      </w:pPr>
      <w:r>
        <w:t>Recursos externos autorizados</w:t>
      </w:r>
    </w:p>
    <w:p>
      <w:r>
        <w:t>Proyecto sistemas-integracion-01; bucket privado</w:t>
        <w:br/>
        <w:t>red-house-evidencias-sistemas-integracion-01, us-central1, Standard; acceso</w:t>
        <w:br/>
        <w:t>uniforme y prevención de acceso público. Cuenta red-house-archivos, permisos de</w:t>
        <w:br/>
        <w:t>objetos limitados al bucket y firma limitada a esa cuenta. Sin claves privadas</w:t>
        <w:br/>
        <w:t>versionadas. Configuración autorizada expresamente por el usuario durante esta ejecución.</w:t>
      </w:r>
    </w:p>
    <w:p>
      <w:pPr>
        <w:pStyle w:val="Heading2"/>
      </w:pPr>
      <w:r>
        <w:t>Evidencia y límites del cierre</w:t>
      </w:r>
    </w:p>
    <w:p>
      <w:r>
        <w:t>La regresión final aprobó 182 pruebas en 2005.90 s, sin fallos ni omisiones. La prueba complementaria de salud aprobó después en 36.08 s; no se suma a esa ejecución como si ambas fueran una sola suite. Los resultados detallan esperado, obtenido, fallos y correcciones.</w:t>
      </w:r>
    </w:p>
    <w:p>
      <w:r>
        <w:t>La actualización Docker sustituyó imágenes compatibles de Inventario A/B; no prueba compatibilidad con migraciones futuras desconocidas. La restauración de las 22 API incluyó suspensión por cierre de tapa, documentada por separado; su tiempo de pared no acredita RTO. No se ampliaron deadlines para obtener aprobaciones.</w:t>
      </w:r>
    </w:p>
    <w:p>
      <w:r>
        <w:t>La base, Redis, MongoDB, gateway y host no tienen redundancia de infraestructura en este alcance. GCE, HTTPS público, operación clínica y capacidad productiva no quedan certificados. El respaldo local no copia objetos GCS: se deben conservar las generaciones referenciadas en el bucket.</w:t>
      </w:r>
    </w:p>
    <w:p>
      <w:r>
        <w:t>Recuperación automatizada de contraseña, email/push, agenda detallada por sede/hora y reportes regulatorios certificados conservan justificación como pendientes de alcance posterior. La ayuda de acceso no recupera contraseñas; CSV de la página actual no equivale a exportación completa ni reporte regulatorio. Android y escritorio están excluidos expresamente del segundo parcial; sus contratos JSON/XML sí se prueban.</w:t>
      </w:r>
    </w:p>
    <w:p>
      <w:r>
        <w:t>Las observaciones textuales del docente no fueron proporcionadas. El informe describe correcciones técnicas verificadas sin inventar su procedencia. Los nombres y la portada se omiten por instrucción del usuario. El equipo agregará los datos de identificación y la participación reales cuando corresponda.</w:t>
      </w:r>
    </w:p>
    <w:p>
      <w:r>
        <w:t>La entrega académica completa sigue pendiente de presentación presencial y YouTube; no se atribuyen al código esos requisitos externos.</w:t>
      </w:r>
    </w:p>
    <w:p>
      <w:pPr>
        <w:pStyle w:val="Heading2"/>
      </w:pPr>
      <w:r>
        <w:t>Actualización de sesiones del 20 de octubre</w:t>
      </w:r>
    </w:p>
    <w:p>
      <w:r>
        <w:t>El portal conserva credenciales cifradas y concesiones de renovación en Redis. Los cierres y revocaciones pendientes quedan en PostgreSQL, esquema web_runtime, con credenciales limitadas. Se mantienen las 71 tablas del dominio y se añade una tabla técnica; 72 tablas entre ambos esquemas. La validación posterior registra migración, concurrencia, caídas, recuperación, HTTP Docker y restauración. Las pruebas del cierre anterior mantienen su alcance y fecha.</w:t>
      </w:r>
    </w:p>
    <w:p>
      <w:pPr>
        <w:pStyle w:val="Heading2"/>
      </w:pPr>
      <w:r>
        <w:t>Referencias y archivos de esta sección</w:t>
      </w:r>
    </w:p>
    <w:p>
      <w:pPr>
        <w:pStyle w:val="Caption"/>
      </w:pPr>
      <w:r>
        <w:t>Docker final: documentation/evidencias/segundo-parcial/docker-release/docker-results.json</w:t>
      </w:r>
    </w:p>
    <w:p>
      <w:pPr>
        <w:pStyle w:val="Caption"/>
      </w:pPr>
      <w:r>
        <w:t>GCS real: documentation/evidencias/segundo-parcial/gcs-real.json</w:t>
      </w:r>
    </w:p>
    <w:p>
      <w:pPr>
        <w:pStyle w:val="Caption"/>
      </w:pPr>
      <w:r>
        <w:t>Guion presencial y de video: stuff/presentacion/Guion_segundo_parcial.md</w:t>
      </w:r>
    </w:p>
    <w:p>
      <w:pPr>
        <w:pStyle w:val="Caption"/>
      </w:pPr>
      <w:r>
        <w:t>PDF: documentation/pdf/Reporte_tecnico_segundo_parcial.pdf</w:t>
      </w:r>
    </w:p>
    <w:p>
      <w:pPr>
        <w:pStyle w:val="Caption"/>
      </w:pPr>
      <w:r>
        <w:t>clon limpio: documentation/evidencias/segundo-parcial/clean-clone.json</w:t>
      </w:r>
    </w:p>
    <w:p>
      <w:pPr>
        <w:pStyle w:val="Caption"/>
      </w:pPr>
      <w:r>
        <w:t>cobertura: documentation/evidencias/segundo-parcial/http/coverage.json</w:t>
      </w:r>
    </w:p>
    <w:p>
      <w:pPr>
        <w:pStyle w:val="Caption"/>
      </w:pPr>
      <w:r>
        <w:t>comparación: documentation/evidencias/segundo-parcial/backup-restore.json</w:t>
      </w:r>
    </w:p>
    <w:p>
      <w:pPr>
        <w:pStyle w:val="Caption"/>
      </w:pPr>
      <w:r>
        <w:t>expediente HTTP: documentation/evidencias/segundo-parcial/http/index.html</w:t>
      </w:r>
    </w:p>
    <w:p>
      <w:pPr>
        <w:pStyle w:val="Caption"/>
      </w:pPr>
      <w:r>
        <w:t>informe Word: documentation/docx/Reporte_tecnico_segundo_parcial.docx</w:t>
      </w:r>
    </w:p>
    <w:p>
      <w:pPr>
        <w:pStyle w:val="Caption"/>
      </w:pPr>
      <w:r>
        <w:t>modelo físico: documentation/segundo-parcial/Modelo_fisico.md</w:t>
      </w:r>
    </w:p>
    <w:p>
      <w:pPr>
        <w:pStyle w:val="Caption"/>
      </w:pPr>
      <w:r>
        <w:t>prueba complementaria de salud: documentation/evidencias/segundo-parcial/salud-complementaria.xml</w:t>
      </w:r>
    </w:p>
    <w:p>
      <w:pPr>
        <w:pStyle w:val="Caption"/>
      </w:pPr>
      <w:r>
        <w:t>regresión final: documentation/evidencias/segundo-parcial/regresion-final.xml</w:t>
      </w:r>
    </w:p>
    <w:p>
      <w:pPr>
        <w:pStyle w:val="Caption"/>
      </w:pPr>
      <w:r>
        <w:t>resultado: documentation/evidencias/segundo-parcial/mongo-projection.json</w:t>
      </w:r>
    </w:p>
    <w:p>
      <w:pPr>
        <w:pStyle w:val="Caption"/>
      </w:pPr>
      <w:r>
        <w:t>resultados: documentation/evidencias/segundo-parcial/RESULTADOS.md</w:t>
      </w:r>
    </w:p>
    <w:p>
      <w:pPr>
        <w:pStyle w:val="Caption"/>
      </w:pPr>
      <w:r>
        <w:t>validación posterior: documentation/evidencias/sesiones-redis/RESULTADOS.md</w:t>
      </w:r>
    </w:p>
    <w:p>
      <w:pPr>
        <w:pStyle w:val="Heading1"/>
      </w:pPr>
      <w:r>
        <w:t>Resultados del segundo parcial</w:t>
      </w:r>
    </w:p>
    <w:p>
      <w:r>
        <w:t>Validación del 19 de octubre de 2026. Aplicación 0.3.0. La regresión, continuidad Docker, navegador, restauración de respaldos e instalación desde clon limpio están aprobados. Los artefactos técnicos se entregan sin portada ni nombres. Presentación presencial y YouTube corresponden al equipo.</w:t>
      </w:r>
    </w:p>
    <w:p>
      <w:pPr>
        <w:pStyle w:val="Heading2"/>
      </w:pPr>
      <w:r>
        <w:t>Condiciones y datos</w:t>
      </w:r>
    </w:p>
    <w:p>
      <w:r>
        <w:t>macOS, Python 3.12 local, Docker Desktop con 8 CPU y 7.75 GiB asignados; imágenes Python 3.13, PostgreSQL 14, Redis 7.4 y MongoDB 8. Datos ficticios y entornos aislados. El entorno habitual .local/runtime no se utilizó para las interrupciones. Bucket GCS privado real autorizado; credenciales fuera del expediente.</w:t>
      </w:r>
    </w:p>
    <w:p>
      <w:pPr>
        <w:pStyle w:val="Heading2"/>
      </w:pPr>
      <w:r>
        <w:t>Resultado esperado y obtenido</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rPr>
                <w:sz w:val="16"/>
              </w:rPr>
              <w:t>Criterio</w:t>
            </w:r>
          </w:p>
        </w:tc>
        <w:tc>
          <w:tcPr>
            <w:tcW w:type="dxa" w:w="2520"/>
          </w:tcPr>
          <w:p>
            <w:r>
              <w:rPr>
                <w:sz w:val="16"/>
              </w:rPr>
              <w:t>Esperado</w:t>
            </w:r>
          </w:p>
        </w:tc>
        <w:tc>
          <w:tcPr>
            <w:tcW w:type="dxa" w:w="2520"/>
          </w:tcPr>
          <w:p>
            <w:r>
              <w:rPr>
                <w:sz w:val="16"/>
              </w:rPr>
              <w:t>Obtenido</w:t>
            </w:r>
          </w:p>
        </w:tc>
        <w:tc>
          <w:tcPr>
            <w:tcW w:type="dxa" w:w="2520"/>
          </w:tcPr>
          <w:p>
            <w:r>
              <w:rPr>
                <w:sz w:val="16"/>
              </w:rPr>
              <w:t>Evidencia</w:t>
            </w:r>
          </w:p>
        </w:tc>
      </w:tr>
      <w:tr>
        <w:tc>
          <w:tcPr>
            <w:tcW w:type="dxa" w:w="2520"/>
          </w:tcPr>
          <w:p>
            <w:r>
              <w:rPr>
                <w:sz w:val="16"/>
              </w:rPr>
              <w:t>Regresión final</w:t>
            </w:r>
          </w:p>
        </w:tc>
        <w:tc>
          <w:tcPr>
            <w:tcW w:type="dxa" w:w="2520"/>
          </w:tcPr>
          <w:p>
            <w:r>
              <w:rPr>
                <w:sz w:val="16"/>
              </w:rPr>
              <w:t>Flujos, seguridad, contratos, concurrencia y persistencia correctos</w:t>
            </w:r>
          </w:p>
        </w:tc>
        <w:tc>
          <w:tcPr>
            <w:tcW w:type="dxa" w:w="2520"/>
          </w:tcPr>
          <w:p>
            <w:r>
              <w:rPr>
                <w:sz w:val="16"/>
              </w:rPr>
              <w:t>182 aprobadas, cero fallos y cero omisiones; 2005.90 s</w:t>
            </w:r>
          </w:p>
        </w:tc>
        <w:tc>
          <w:tcPr>
            <w:tcW w:type="dxa" w:w="2520"/>
          </w:tcPr>
          <w:p>
            <w:r>
              <w:rPr>
                <w:sz w:val="16"/>
              </w:rPr>
              <w:t>JUnit, salida</w:t>
            </w:r>
          </w:p>
        </w:tc>
      </w:tr>
      <w:tr>
        <w:tc>
          <w:tcPr>
            <w:tcW w:type="dxa" w:w="2520"/>
          </w:tcPr>
          <w:p>
            <w:r>
              <w:rPr>
                <w:sz w:val="16"/>
              </w:rPr>
              <w:t>Salud complementaria</w:t>
            </w:r>
          </w:p>
        </w:tc>
        <w:tc>
          <w:tcPr>
            <w:tcW w:type="dxa" w:w="2520"/>
          </w:tcPr>
          <w:p>
            <w:r>
              <w:rPr>
                <w:sz w:val="16"/>
              </w:rPr>
              <w:t>Negociación inválida 406; dependencia inaccesible 503 y recuperación 200</w:t>
            </w:r>
          </w:p>
        </w:tc>
        <w:tc>
          <w:tcPr>
            <w:tcW w:type="dxa" w:w="2520"/>
          </w:tcPr>
          <w:p>
            <w:r>
              <w:rPr>
                <w:sz w:val="16"/>
              </w:rPr>
              <w:t>Una prueba adicional aprobada, 36.08 s, para los once propietarios</w:t>
            </w:r>
          </w:p>
        </w:tc>
        <w:tc>
          <w:tcPr>
            <w:tcW w:type="dxa" w:w="2520"/>
          </w:tcPr>
          <w:p>
            <w:r>
              <w:rPr>
                <w:sz w:val="16"/>
              </w:rPr>
              <w:t>JUnit, salida</w:t>
            </w:r>
          </w:p>
        </w:tc>
      </w:tr>
      <w:tr>
        <w:tc>
          <w:tcPr>
            <w:tcW w:type="dxa" w:w="2520"/>
          </w:tcPr>
          <w:p>
            <w:r>
              <w:rPr>
                <w:sz w:val="16"/>
              </w:rPr>
              <w:t>Sangre por API Docker</w:t>
            </w:r>
          </w:p>
        </w:tc>
        <w:tc>
          <w:tcPr>
            <w:tcW w:type="dxa" w:w="2520"/>
          </w:tcPr>
          <w:p>
            <w:r>
              <w:rPr>
                <w:sz w:val="16"/>
              </w:rPr>
              <w:t>Reserva única, traslado, solicitud cerrada y recurso recibido</w:t>
            </w:r>
          </w:p>
        </w:tc>
        <w:tc>
          <w:tcPr>
            <w:tcW w:type="dxa" w:w="2520"/>
          </w:tcPr>
          <w:p>
            <w:r>
              <w:rPr>
                <w:sz w:val="16"/>
              </w:rPr>
              <w:t>Aprobado con comprobación SQL y custodia</w:t>
            </w:r>
          </w:p>
        </w:tc>
        <w:tc>
          <w:tcPr>
            <w:tcW w:type="dxa" w:w="2520"/>
          </w:tcPr>
          <w:p>
            <w:r>
              <w:rPr>
                <w:sz w:val="16"/>
              </w:rPr>
              <w:t>Nueve controles Docker</w:t>
            </w:r>
          </w:p>
        </w:tc>
      </w:tr>
      <w:tr>
        <w:tc>
          <w:tcPr>
            <w:tcW w:type="dxa" w:w="2520"/>
          </w:tcPr>
          <w:p>
            <w:r>
              <w:rPr>
                <w:sz w:val="16"/>
              </w:rPr>
              <w:t>Órganos y JSON/XML sin réplicas A</w:t>
            </w:r>
          </w:p>
        </w:tc>
        <w:tc>
          <w:tcPr>
            <w:tcW w:type="dxa" w:w="2520"/>
          </w:tcPr>
          <w:p>
            <w:r>
              <w:rPr>
                <w:sz w:val="16"/>
              </w:rPr>
              <w:t>Flujo completo y consultas de los once servicios mediante B, incluida Identidad</w:t>
            </w:r>
          </w:p>
        </w:tc>
        <w:tc>
          <w:tcPr>
            <w:tcW w:type="dxa" w:w="2520"/>
          </w:tcPr>
          <w:p>
            <w:r>
              <w:rPr>
                <w:sz w:val="16"/>
              </w:rPr>
              <w:t>Aprobado</w:t>
            </w:r>
          </w:p>
        </w:tc>
        <w:tc>
          <w:tcPr>
            <w:tcW w:type="dxa" w:w="2520"/>
          </w:tcPr>
          <w:p>
            <w:r>
              <w:rPr>
                <w:sz w:val="16"/>
              </w:rPr>
              <w:t>Intercambios Docker</w:t>
            </w:r>
          </w:p>
        </w:tc>
      </w:tr>
      <w:tr>
        <w:tc>
          <w:tcPr>
            <w:tcW w:type="dxa" w:w="2520"/>
          </w:tcPr>
          <w:p>
            <w:r>
              <w:rPr>
                <w:sz w:val="16"/>
              </w:rPr>
              <w:t>Web sin las 22 API</w:t>
            </w:r>
          </w:p>
        </w:tc>
        <w:tc>
          <w:tcPr>
            <w:tcW w:type="dxa" w:w="2520"/>
          </w:tcPr>
          <w:p>
            <w:r>
              <w:rPr>
                <w:sz w:val="16"/>
              </w:rPr>
              <w:t>Sangre y órganos de principio a fin mediante backend propio</w:t>
            </w:r>
          </w:p>
        </w:tc>
        <w:tc>
          <w:tcPr>
            <w:tcW w:type="dxa" w:w="2520"/>
          </w:tcPr>
          <w:p>
            <w:r>
              <w:rPr>
                <w:sz w:val="16"/>
              </w:rPr>
              <w:t>Ambos aprobados; restauración posterior completada</w:t>
            </w:r>
          </w:p>
        </w:tc>
        <w:tc>
          <w:tcPr>
            <w:tcW w:type="dxa" w:w="2520"/>
          </w:tcPr>
          <w:p>
            <w:r>
              <w:rPr>
                <w:sz w:val="16"/>
              </w:rPr>
              <w:t>Docker final</w:t>
            </w:r>
          </w:p>
        </w:tc>
      </w:tr>
      <w:tr>
        <w:tc>
          <w:tcPr>
            <w:tcW w:type="dxa" w:w="2520"/>
          </w:tcPr>
          <w:p>
            <w:r>
              <w:rPr>
                <w:sz w:val="16"/>
              </w:rPr>
              <w:t>Todas las autoridades API detenidas</w:t>
            </w:r>
          </w:p>
        </w:tc>
        <w:tc>
          <w:tcPr>
            <w:tcW w:type="dxa" w:w="2520"/>
          </w:tcPr>
          <w:p>
            <w:r>
              <w:rPr>
                <w:sz w:val="16"/>
              </w:rPr>
              <w:t>Informar indisponibilidad sin eludir seguridad</w:t>
            </w:r>
          </w:p>
        </w:tc>
        <w:tc>
          <w:tcPr>
            <w:tcW w:type="dxa" w:w="2520"/>
          </w:tcPr>
          <w:p>
            <w:r>
              <w:rPr>
                <w:sz w:val="16"/>
              </w:rPr>
              <w:t>Gateway 502</w:t>
            </w:r>
          </w:p>
        </w:tc>
        <w:tc>
          <w:tcPr>
            <w:tcW w:type="dxa" w:w="2520"/>
          </w:tcPr>
          <w:p>
            <w:r>
              <w:rPr>
                <w:sz w:val="16"/>
              </w:rPr>
              <w:t>Docker final</w:t>
            </w:r>
          </w:p>
        </w:tc>
      </w:tr>
      <w:tr>
        <w:tc>
          <w:tcPr>
            <w:tcW w:type="dxa" w:w="2520"/>
          </w:tcPr>
          <w:p>
            <w:r>
              <w:rPr>
                <w:sz w:val="16"/>
              </w:rPr>
              <w:t>Actualización gradual</w:t>
            </w:r>
          </w:p>
        </w:tc>
        <w:tc>
          <w:tcPr>
            <w:tcW w:type="dxa" w:w="2520"/>
          </w:tcPr>
          <w:p>
            <w:r>
              <w:rPr>
                <w:sz w:val="16"/>
              </w:rPr>
              <w:t>Sustituir A y B por imagen compatible conservando operaciones</w:t>
            </w:r>
          </w:p>
        </w:tc>
        <w:tc>
          <w:tcPr>
            <w:tcW w:type="dxa" w:w="2520"/>
          </w:tcPr>
          <w:p>
            <w:r>
              <w:rPr>
                <w:sz w:val="16"/>
              </w:rPr>
              <w:t>IDs de imagen distintos; 100 consultas continuas, todas 200; alta y consulta SQL después de cada sustitución</w:t>
            </w:r>
          </w:p>
        </w:tc>
        <w:tc>
          <w:tcPr>
            <w:tcW w:type="dxa" w:w="2520"/>
          </w:tcPr>
          <w:p>
            <w:r>
              <w:rPr>
                <w:sz w:val="16"/>
              </w:rPr>
              <w:t>Imágenes y resultados</w:t>
            </w:r>
          </w:p>
        </w:tc>
      </w:tr>
      <w:tr>
        <w:tc>
          <w:tcPr>
            <w:tcW w:type="dxa" w:w="2520"/>
          </w:tcPr>
          <w:p>
            <w:r>
              <w:rPr>
                <w:sz w:val="16"/>
              </w:rPr>
              <w:t>Reinicio de almacenes</w:t>
            </w:r>
          </w:p>
        </w:tc>
        <w:tc>
          <w:tcPr>
            <w:tcW w:type="dxa" w:w="2520"/>
          </w:tcPr>
          <w:p>
            <w:r>
              <w:rPr>
                <w:sz w:val="16"/>
              </w:rPr>
              <w:t>Conservar datos y recuperar consultas autorizadas</w:t>
            </w:r>
          </w:p>
        </w:tc>
        <w:tc>
          <w:tcPr>
            <w:tcW w:type="dxa" w:w="2520"/>
          </w:tcPr>
          <w:p>
            <w:r>
              <w:rPr>
                <w:sz w:val="16"/>
              </w:rPr>
              <w:t>Mismo ID, folio, estado y versión SQL; JSON/XML recuperados tras reiniciar PostgreSQL, Redis y MongoDB</w:t>
            </w:r>
          </w:p>
        </w:tc>
        <w:tc>
          <w:tcPr>
            <w:tcW w:type="dxa" w:w="2520"/>
          </w:tcPr>
          <w:p>
            <w:r>
              <w:rPr>
                <w:sz w:val="16"/>
              </w:rPr>
              <w:t>Comparación antes/después</w:t>
            </w:r>
          </w:p>
        </w:tc>
      </w:tr>
      <w:tr>
        <w:tc>
          <w:tcPr>
            <w:tcW w:type="dxa" w:w="2520"/>
          </w:tcPr>
          <w:p>
            <w:r>
              <w:rPr>
                <w:sz w:val="16"/>
              </w:rPr>
              <w:t>GCS real</w:t>
            </w:r>
          </w:p>
        </w:tc>
        <w:tc>
          <w:tcPr>
            <w:tcW w:type="dxa" w:w="2520"/>
          </w:tcPr>
          <w:p>
            <w:r>
              <w:rPr>
                <w:sz w:val="16"/>
              </w:rPr>
              <w:t>Carga privada, descarga/hash, permisos, validación y recuperación</w:t>
            </w:r>
          </w:p>
        </w:tc>
        <w:tc>
          <w:tcPr>
            <w:tcW w:type="dxa" w:w="2520"/>
          </w:tcPr>
          <w:p>
            <w:r>
              <w:rPr>
                <w:sz w:val="16"/>
              </w:rPr>
              <w:t>Web 303; descarga 200/hash idéntico; anónimo 403; inválido 422; ausente 404; expirado 400 ExpiredToken; dependencia 503 y recuperación 200</w:t>
            </w:r>
          </w:p>
        </w:tc>
        <w:tc>
          <w:tcPr>
            <w:tcW w:type="dxa" w:w="2520"/>
          </w:tcPr>
          <w:p>
            <w:r>
              <w:rPr>
                <w:sz w:val="16"/>
              </w:rPr>
              <w:t>Resultado GCS, configuración de bucket</w:t>
            </w:r>
          </w:p>
        </w:tc>
      </w:tr>
      <w:tr>
        <w:tc>
          <w:tcPr>
            <w:tcW w:type="dxa" w:w="2520"/>
          </w:tcPr>
          <w:p>
            <w:r>
              <w:rPr>
                <w:sz w:val="16"/>
              </w:rPr>
              <w:t>Proyección MongoDB</w:t>
            </w:r>
          </w:p>
        </w:tc>
        <w:tc>
          <w:tcPr>
            <w:tcW w:type="dxa" w:w="2520"/>
          </w:tcPr>
          <w:p>
            <w:r>
              <w:rPr>
                <w:sz w:val="16"/>
              </w:rPr>
              <w:t>Actualizar sin modificar eventos, deduplicar, ordenar, reconstruir e indexar</w:t>
            </w:r>
          </w:p>
        </w:tc>
        <w:tc>
          <w:tcPr>
            <w:tcW w:type="dxa" w:w="2520"/>
          </w:tcPr>
          <w:p>
            <w:r>
              <w:rPr>
                <w:sz w:val="16"/>
              </w:rPr>
              <w:t>Versión 3; seis eventos reproducidos; duplicados/reconstrucción sin cambios; actualización de evento denegada; IXSCAN regional_state, tres claves/documentos examinados</w:t>
            </w:r>
          </w:p>
        </w:tc>
        <w:tc>
          <w:tcPr>
            <w:tcW w:type="dxa" w:w="2520"/>
          </w:tcPr>
          <w:p>
            <w:r>
              <w:rPr>
                <w:sz w:val="16"/>
              </w:rPr>
              <w:t>Resultado y explain</w:t>
            </w:r>
          </w:p>
        </w:tc>
      </w:tr>
      <w:tr>
        <w:tc>
          <w:tcPr>
            <w:tcW w:type="dxa" w:w="2520"/>
          </w:tcPr>
          <w:p>
            <w:r>
              <w:rPr>
                <w:sz w:val="16"/>
              </w:rPr>
              <w:t>Navegador</w:t>
            </w:r>
          </w:p>
        </w:tc>
        <w:tc>
          <w:tcPr>
            <w:tcW w:type="dxa" w:w="2520"/>
          </w:tcPr>
          <w:p>
            <w:r>
              <w:rPr>
                <w:sz w:val="16"/>
              </w:rPr>
              <w:t>Páginas autorizadas, gráficas reales, adaptación móvil, archivo y Swagger</w:t>
            </w:r>
          </w:p>
        </w:tc>
        <w:tc>
          <w:tcPr>
            <w:tcW w:type="dxa" w:w="2520"/>
          </w:tcPr>
          <w:p>
            <w:r>
              <w:rPr>
                <w:sz w:val="16"/>
              </w:rPr>
              <w:t>20 páginas, siete perfiles, sin errores JavaScript; valores y etiquetas Highcharts coinciden; ancho 390 sin desbordamiento; carga VERIFIED y Swagger 200</w:t>
            </w:r>
          </w:p>
        </w:tc>
        <w:tc>
          <w:tcPr>
            <w:tcW w:type="dxa" w:w="2520"/>
          </w:tcPr>
          <w:p>
            <w:r>
              <w:rPr>
                <w:sz w:val="16"/>
              </w:rPr>
              <w:t>Informe, archivo, Swagger ejecutado</w:t>
            </w:r>
          </w:p>
        </w:tc>
      </w:tr>
      <w:tr>
        <w:tc>
          <w:tcPr>
            <w:tcW w:type="dxa" w:w="2520"/>
          </w:tcPr>
          <w:p>
            <w:r>
              <w:rPr>
                <w:sz w:val="16"/>
              </w:rPr>
              <w:t>HTTP por endpoint</w:t>
            </w:r>
          </w:p>
        </w:tc>
        <w:tc>
          <w:tcPr>
            <w:tcW w:type="dxa" w:w="2520"/>
          </w:tcPr>
          <w:p>
            <w:r>
              <w:rPr>
                <w:sz w:val="16"/>
              </w:rPr>
              <w:t>Solicitudes reales, errores aplicables, persistencia y captura</w:t>
            </w:r>
          </w:p>
        </w:tc>
        <w:tc>
          <w:tcPr>
            <w:tcW w:type="dxa" w:w="2520"/>
          </w:tcPr>
          <w:p>
            <w:r>
              <w:rPr>
                <w:sz w:val="16"/>
              </w:rPr>
              <w:t>284/284 con HTTP exitoso; 240 con error; 44 rutas de documentación fija con justificación de no aplicabilidad; ninguna escritura capturada sin comprobación</w:t>
            </w:r>
          </w:p>
        </w:tc>
        <w:tc>
          <w:tcPr>
            <w:tcW w:type="dxa" w:w="2520"/>
          </w:tcPr>
          <w:p>
            <w:r>
              <w:rPr>
                <w:sz w:val="16"/>
              </w:rPr>
              <w:t>Visor, cobertura, 284 capturas de endpoints y una del inventario</w:t>
            </w:r>
          </w:p>
        </w:tc>
      </w:tr>
      <w:tr>
        <w:tc>
          <w:tcPr>
            <w:tcW w:type="dxa" w:w="2520"/>
          </w:tcPr>
          <w:p>
            <w:r>
              <w:rPr>
                <w:sz w:val="16"/>
              </w:rPr>
              <w:t>Respaldo y restauración aislada</w:t>
            </w:r>
          </w:p>
        </w:tc>
        <w:tc>
          <w:tcPr>
            <w:tcW w:type="dxa" w:w="2520"/>
          </w:tcPr>
          <w:p>
            <w:r>
              <w:rPr>
                <w:sz w:val="16"/>
              </w:rPr>
              <w:t>Igualdad de datos, roles y estado temporal</w:t>
            </w:r>
          </w:p>
        </w:tc>
        <w:tc>
          <w:tcPr>
            <w:tcW w:type="dxa" w:w="2520"/>
          </w:tcPr>
          <w:p>
            <w:r>
              <w:rPr>
                <w:sz w:val="16"/>
              </w:rPr>
              <w:t>71 tablas / 15 122 filas SQL, 7 632 documentos MongoDB, cinco usuarios y cuatro roles documentales idénticos por conteo/hash; clave Redis restaurada con TTL 3575 s</w:t>
            </w:r>
          </w:p>
        </w:tc>
        <w:tc>
          <w:tcPr>
            <w:tcW w:type="dxa" w:w="2520"/>
          </w:tcPr>
          <w:p>
            <w:r>
              <w:rPr>
                <w:sz w:val="16"/>
              </w:rPr>
              <w:t>Comparación completa</w:t>
            </w:r>
          </w:p>
        </w:tc>
      </w:tr>
      <w:tr>
        <w:tc>
          <w:tcPr>
            <w:tcW w:type="dxa" w:w="2520"/>
          </w:tcPr>
          <w:p>
            <w:r>
              <w:rPr>
                <w:sz w:val="16"/>
              </w:rPr>
              <w:t>Instalación desde clon limpio</w:t>
            </w:r>
          </w:p>
        </w:tc>
        <w:tc>
          <w:tcPr>
            <w:tcW w:type="dxa" w:w="2520"/>
          </w:tcPr>
          <w:p>
            <w:r>
              <w:rPr>
                <w:sz w:val="16"/>
              </w:rPr>
              <w:t>Secretos nuevos, esquema y volúmenes propios, arranque, negocio y bootstrap repetible</w:t>
            </w:r>
          </w:p>
        </w:tc>
        <w:tc>
          <w:tcPr>
            <w:tcW w:type="dxa" w:w="2520"/>
          </w:tcPr>
          <w:p>
            <w:r>
              <w:rPr>
                <w:sz w:val="16"/>
              </w:rPr>
              <w:t>Ocho etapas aprobadas; 27 contenedores saludables; sangre por API, consultas JSON/XML de once propietarios y segunda ejecución de bootstrap</w:t>
            </w:r>
          </w:p>
        </w:tc>
        <w:tc>
          <w:tcPr>
            <w:tcW w:type="dxa" w:w="2520"/>
          </w:tcPr>
          <w:p>
            <w:r>
              <w:rPr>
                <w:sz w:val="16"/>
              </w:rPr>
              <w:t>Informe, estado, HTTP real</w:t>
            </w:r>
          </w:p>
        </w:tc>
      </w:tr>
    </w:tbl>
    <w:p/>
    <w:p>
      <w:r>
        <w:t>Los 182 casos pertenecen a una sola ejecución completa. La prueba de salud se agregó y ejecutó después, sin cambiar código de aplicación; se informa por separado. Las nueve comprobaciones Docker y los recorridos de navegador tampoco se suman como casos de esa regresión.</w:t>
      </w:r>
    </w:p>
    <w:p>
      <w:r>
        <w:t>La prueba complementaria de salud dirige temporalmente cada dependencia a un puerto local cerrado. Los handlers intentan conexiones reales y se verifican sus respuestas HTTP y su recuperación; no se fabrican respuestas del adaptador. Los ensayos de reinicio Docker sí reinician los motores completos.</w:t>
      </w:r>
    </w:p>
    <w:p>
      <w:pPr>
        <w:pStyle w:val="Heading2"/>
      </w:pPr>
      <w:r>
        <w:t>Fallos conservados y correcciones</w:t>
      </w:r>
    </w:p>
    <w:p>
      <w:pPr>
        <w:pStyle w:val="ListBullet"/>
      </w:pPr>
      <w:r>
        <w:t>La primera suite completa del 19/10 obtuvo 176 aprobados y un fallo GCS: autenticación/firma podían esperar sin límite explícito. Se acotaron esos RPC; la regresión final con GCS aprobó. No se amplió el timeout de las pruebas.</w:t>
      </w:r>
    </w:p>
    <w:p>
      <w:pPr>
        <w:pStyle w:val="ListBullet"/>
      </w:pPr>
      <w:r>
        <w:t>Una aserción inicial esperaba 403 para URL expirada. GCS devuelve 400 ExpiredToken; se ajustó al contrato documentado manteniendo la comprobación exacta del código XML. Contrato XML GCS.</w:t>
      </w:r>
    </w:p>
    <w:p>
      <w:pPr>
        <w:pStyle w:val="ListBullet"/>
      </w:pPr>
      <w:r>
        <w:t>La captura optativa de archivos estáticos intentaba consumir send_file en modo streaming. Ahora materializa la respuesta solo cuando se solicita evidencia; la ejecución HTTP de todas las rutas pasó.</w:t>
      </w:r>
    </w:p>
    <w:p>
      <w:pPr>
        <w:pStyle w:val="ListBullet"/>
      </w:pPr>
      <w:r>
        <w:t>Las primeras pruebas Docker encontraron directorios temporales Nginx incompatibles con raíz de solo lectura y carga tardía de configuración web privada. Se corrigieron y se repitieron los flujos.</w:t>
      </w:r>
    </w:p>
    <w:p>
      <w:pPr>
        <w:pStyle w:val="ListBullet"/>
      </w:pPr>
      <w:r>
        <w:t>Las conexiones SQL costosas bajo carga motivaron pools acotados por aplicación, credencial y esquema. La regresión verifica reutilización, rollback, aislamiento y recuperación sin repetición automática de escrituras. Pool Psycopg.</w:t>
      </w:r>
    </w:p>
    <w:p>
      <w:pPr>
        <w:pStyle w:val="ListBullet"/>
      </w:pPr>
      <w:r>
        <w:t>Un primer 504 durante la caída de réplicas permanece registrado. No se atribuye una causa única sin evidencia suficiente. Las repeticiones y el ensayo final completaron los procesos previstos.</w:t>
      </w:r>
    </w:p>
    <w:p>
      <w:pPr>
        <w:pStyle w:val="ListBullet"/>
      </w:pPr>
      <w:r>
        <w:t>Restaurar muchas instancias simultáneamente agotó salud bajo carga del host superior a 300. Se ordenó el arranque por pares, consumidores primero. El sondeo mínimo conservó verificación HTTP y del worker, sin ampliar los 8 s del health check. La ejecución final completó ambas restauraciones.</w:t>
      </w:r>
    </w:p>
    <w:p>
      <w:pPr>
        <w:pStyle w:val="ListBullet"/>
      </w:pPr>
      <w:r>
        <w:t>La restauración final de las 22 API incluyó suspensión del equipo: cierre de tapa a las 11:24:40 y apertura a las 12:16:02. El registro de energía distingue esa pausa; la duración de pared de la fase no mide RTO ni latencia. Los escenarios de negocio anteriores y actualización/reinicio posteriores terminaron con el equipo despierto.</w:t>
      </w:r>
    </w:p>
    <w:p>
      <w:pPr>
        <w:pStyle w:val="ListBullet"/>
      </w:pPr>
      <w:r>
        <w:t>El capturador de navegador primero consultó una columna inexistente y después eligió un traslado cerrado. Se corrigió la consulta y se preparó un traslado abierto mediante API. La aplicación correctamente impide cargar nuevas evidencias fuera del periodo autorizado. Incidente y repetición.</w:t>
      </w:r>
    </w:p>
    <w:p>
      <w:pPr>
        <w:pStyle w:val="ListBullet"/>
      </w:pPr>
      <w:r>
        <w:t>El ensayo de respaldo detectó escapado incorrecto del script embebido, pérdida de autenticación al restaurar MongoDB admin junto con índices, y orden variable en el agregado SQL. La restauración ahora separa credenciales y datos con nueva autenticación; compara SQL ordenado por tabla y verifica hashes de usuarios/roles. Incidentes, comportamiento mongorestore.</w:t>
      </w:r>
    </w:p>
    <w:p>
      <w:pPr>
        <w:pStyle w:val="ListBullet"/>
      </w:pPr>
      <w:r>
        <w:br/>
        <w:t>La primera selección del clon rechazó el marcador versionado .codegraph/.gitignore. Se permitió únicamente ese archivo de configuración, conservando el rechazo de secretos y cachés. Diagnóstico.</w:t>
        <w:br/>
      </w:r>
    </w:p>
    <w:p>
      <w:pPr>
        <w:pStyle w:val="ListBullet"/>
      </w:pPr>
      <w:r>
        <w:br/>
        <w:t>El primer intento de instalación del clon quedó detenido al fallar DNS de Docker Hub. Se comprobó después la resolución desde host y contenedor; otra instalación completa, con proyecto y volúmenes nuevos, aprobó. Fallo conservado, repetición aprobada.</w:t>
        <w:br/>
      </w:r>
    </w:p>
    <w:p>
      <w:r>
        <w:t>Los metadatos de regresiones intermedias conservan fechas, hashes y fallos anteriores. Los informes Docker intermedios permanecen en sus carpetas; el cierre usa docker-release, no borra ni reetiqueta sus predecesores.</w:t>
      </w:r>
    </w:p>
    <w:p>
      <w:pPr>
        <w:pStyle w:val="Heading2"/>
      </w:pPr>
      <w:r>
        <w:t>Alcance y límites de la evidencia</w:t>
      </w:r>
    </w:p>
    <w:p>
      <w:r>
        <w:t>El inventario se obtiene de rutas reales y excluye los métodos automáticos HEAD/OPTIONS. Cada método y ruta tiene su propia página, éxito, error cuando aplica, headers redactados, fecha, versión, correlación y huella de implementación. Los cuerpos completos quedan enlazados. Las capturas del visor corresponden a intercambios ejecutados; los ejemplos Swagger se distinguen de esa evidencia. El expediente separa HTTP, WSGI y llamadas modulares.</w:t>
      </w:r>
    </w:p>
    <w:p>
      <w:r>
        <w:t>Las escrituras conservan consultas posteriores a idempotencia, operación, inbox o sesión SQL/Redis. Recibir un 200 por sí solo no se usa como prueba de persistencia. Las 44 rutas GET de documentación fija no reciben datos de negocio; se explica por qué no se fabrica un error de dominio para ellas.</w:t>
      </w:r>
    </w:p>
    <w:p>
      <w:r>
        <w:t>La restauración compara datos con las aplicaciones pausadas y usa tres contenedores nuevos sin puertos publicados. Los archivos privados de respaldo incluyen configuración y claves. El objeto ficticio del navegador permanece en el bucket para demostración; el respaldo local no copia objetos GCS y su recuperación requiere conservar las generaciones referenciadas. Los objetos creados por la prueba automatizada GCS se eliminaron en su limpieza.</w:t>
      </w:r>
    </w:p>
    <w:p>
      <w:r>
        <w:t>No se certifican carga productiva, migraciones futuras incompatibles, GCE/HTTPS público, alta disponibilidad de almacenes/host, validez clínica, presentación presencial ni publicación de YouTube. Las mediciones históricas de carga se conservan con su fecha y no se atribuyen a 0.3.0.</w:t>
      </w:r>
    </w:p>
    <w:p>
      <w:pPr>
        <w:pStyle w:val="Heading2"/>
      </w:pPr>
      <w:r>
        <w:t>Estado al entregar</w:t>
      </w:r>
    </w:p>
    <w:p>
      <w:r>
        <w:t>Los contenedores de demostración, restauración y clones de prueba quedan detenidos; sus volúmenes y respaldos privados se conservan. Para recuperar el Compose principal desde la raíz: python3 deployment/start.py. El entorno habitual .local/runtime se mantiene separado. Los 630 archivos de aplicación/despliegue comparados coinciden con la instantánea del clon; los hashes de los once servicios coinciden con la regresión final. Verificación de fuentes.</w:t>
      </w:r>
    </w:p>
    <w:p>
      <w:pPr>
        <w:pStyle w:val="Heading2"/>
      </w:pPr>
      <w:r>
        <w:t>Referencias y archivos de esta sección</w:t>
      </w:r>
    </w:p>
    <w:p>
      <w:pPr>
        <w:pStyle w:val="Caption"/>
      </w:pPr>
      <w:r>
        <w:t>Comparación antes/después: documentation/evidencias/segundo-parcial/docker-release/docker-results.json</w:t>
      </w:r>
    </w:p>
    <w:p>
      <w:pPr>
        <w:pStyle w:val="Caption"/>
      </w:pPr>
      <w:r>
        <w:t>Comparación completa: documentation/evidencias/segundo-parcial/backup-restore.json</w:t>
      </w:r>
    </w:p>
    <w:p>
      <w:pPr>
        <w:pStyle w:val="Caption"/>
      </w:pPr>
      <w:r>
        <w:t>Contrato XML GCS: https://docs.cloud.google.com/storage/docs/xml-api/reference-status</w:t>
      </w:r>
    </w:p>
    <w:p>
      <w:pPr>
        <w:pStyle w:val="Caption"/>
      </w:pPr>
      <w:r>
        <w:t>Diagnóstico: documentation/evidencias/segundo-parcial/clean-clone-incidents.json</w:t>
      </w:r>
    </w:p>
    <w:p>
      <w:pPr>
        <w:pStyle w:val="Caption"/>
      </w:pPr>
      <w:r>
        <w:t>Docker final: documentation/evidencias/segundo-parcial/docker-release/docker-results.json</w:t>
      </w:r>
    </w:p>
    <w:p>
      <w:pPr>
        <w:pStyle w:val="Caption"/>
      </w:pPr>
      <w:r>
        <w:t>Fallo conservado: documentation/evidencias/segundo-parcial/clean-clone-dns-failure.json</w:t>
      </w:r>
    </w:p>
    <w:p>
      <w:pPr>
        <w:pStyle w:val="Caption"/>
      </w:pPr>
      <w:r>
        <w:t>HTTP real: documentation/evidencias/segundo-parcial/clean-clone-http.json</w:t>
      </w:r>
    </w:p>
    <w:p>
      <w:pPr>
        <w:pStyle w:val="Caption"/>
      </w:pPr>
      <w:r>
        <w:t>Imágenes y resultados: documentation/evidencias/segundo-parcial/docker-release/docker-results.json</w:t>
      </w:r>
    </w:p>
    <w:p>
      <w:pPr>
        <w:pStyle w:val="Caption"/>
      </w:pPr>
      <w:r>
        <w:t>Incidente y repetición: documentation/evidencias/segundo-parcial/browser-incidents.json</w:t>
      </w:r>
    </w:p>
    <w:p>
      <w:pPr>
        <w:pStyle w:val="Caption"/>
      </w:pPr>
      <w:r>
        <w:t>Incidentes: documentation/evidencias/segundo-parcial/backup-incidents.json</w:t>
      </w:r>
    </w:p>
    <w:p>
      <w:pPr>
        <w:pStyle w:val="Caption"/>
      </w:pPr>
      <w:r>
        <w:t>Informe: documentation/evidencias/segundo-parcial/browser/browser-results.json</w:t>
      </w:r>
    </w:p>
    <w:p>
      <w:pPr>
        <w:pStyle w:val="Caption"/>
      </w:pPr>
      <w:r>
        <w:t>Informe: documentation/evidencias/segundo-parcial/clean-clone.json</w:t>
      </w:r>
    </w:p>
    <w:p>
      <w:pPr>
        <w:pStyle w:val="Caption"/>
      </w:pPr>
      <w:r>
        <w:t>Intercambios Docker: documentation/evidencias/segundo-parcial/docker-release/docker-http.json</w:t>
      </w:r>
    </w:p>
    <w:p>
      <w:pPr>
        <w:pStyle w:val="Caption"/>
      </w:pPr>
      <w:r>
        <w:t>JUnit: documentation/evidencias/segundo-parcial/regresion-final.xml</w:t>
      </w:r>
    </w:p>
    <w:p>
      <w:pPr>
        <w:pStyle w:val="Caption"/>
      </w:pPr>
      <w:r>
        <w:t>JUnit: documentation/evidencias/segundo-parcial/salud-complementaria.xml</w:t>
      </w:r>
    </w:p>
    <w:p>
      <w:pPr>
        <w:pStyle w:val="Caption"/>
      </w:pPr>
      <w:r>
        <w:t>Nueve controles Docker: documentation/evidencias/segundo-parcial/docker-release/docker-results.json</w:t>
      </w:r>
    </w:p>
    <w:p>
      <w:pPr>
        <w:pStyle w:val="Caption"/>
      </w:pPr>
      <w:r>
        <w:t>Pool Psycopg: https://www.psycopg.org/psycopg3/docs/advanced/pool.html</w:t>
      </w:r>
    </w:p>
    <w:p>
      <w:pPr>
        <w:pStyle w:val="Caption"/>
      </w:pPr>
      <w:r>
        <w:t>Resultado GCS: documentation/evidencias/segundo-parcial/gcs-real.json</w:t>
      </w:r>
    </w:p>
    <w:p>
      <w:pPr>
        <w:pStyle w:val="Caption"/>
      </w:pPr>
      <w:r>
        <w:t>Resultado y explain: documentation/evidencias/segundo-parcial/mongo-projection.json</w:t>
      </w:r>
    </w:p>
    <w:p>
      <w:pPr>
        <w:pStyle w:val="Caption"/>
      </w:pPr>
      <w:r>
        <w:t>Swagger ejecutado: documentation/evidencias/segundo-parcial/browser/swagger-executed.png</w:t>
      </w:r>
    </w:p>
    <w:p>
      <w:pPr>
        <w:pStyle w:val="Caption"/>
      </w:pPr>
      <w:r>
        <w:t>Verificación de fuentes: documentation/evidencias/segundo-parcial/source-validation.json</w:t>
      </w:r>
    </w:p>
    <w:p>
      <w:pPr>
        <w:pStyle w:val="Caption"/>
      </w:pPr>
      <w:r>
        <w:t>Visor: documentation/evidencias/segundo-parcial/http/index.html</w:t>
      </w:r>
    </w:p>
    <w:p>
      <w:pPr>
        <w:pStyle w:val="Caption"/>
      </w:pPr>
      <w:r>
        <w:t>archivo: documentation/evidencias/segundo-parcial/browser/gcs-web-verified.png</w:t>
      </w:r>
    </w:p>
    <w:p>
      <w:pPr>
        <w:pStyle w:val="Caption"/>
      </w:pPr>
      <w:r>
        <w:t>cobertura: documentation/evidencias/segundo-parcial/http/coverage.json</w:t>
      </w:r>
    </w:p>
    <w:p>
      <w:pPr>
        <w:pStyle w:val="Caption"/>
      </w:pPr>
      <w:r>
        <w:t>comportamiento mongorestore: https://www.mongodb.com/docs/database-tools/mongorestore/</w:t>
      </w:r>
    </w:p>
    <w:p>
      <w:pPr>
        <w:pStyle w:val="Caption"/>
      </w:pPr>
      <w:r>
        <w:t>configuración de bucket: documentation/evidencias/segundo-parcial/gcs-bucket.json</w:t>
      </w:r>
    </w:p>
    <w:p>
      <w:pPr>
        <w:pStyle w:val="Caption"/>
      </w:pPr>
      <w:r>
        <w:t>estado: documentation/evidencias/segundo-parcial/clean-clone-start.json</w:t>
      </w:r>
    </w:p>
    <w:p>
      <w:pPr>
        <w:pStyle w:val="Caption"/>
      </w:pPr>
      <w:r>
        <w:t>metadatos de regresiones intermedias: documentation/evidencias/segundo-parcial/regresiones-intermedias.json</w:t>
      </w:r>
    </w:p>
    <w:p>
      <w:pPr>
        <w:pStyle w:val="Caption"/>
      </w:pPr>
      <w:r>
        <w:t>registro de energía: documentation/evidencias/segundo-parcial/docker-release/host-suspension.json</w:t>
      </w:r>
    </w:p>
    <w:p>
      <w:pPr>
        <w:pStyle w:val="Caption"/>
      </w:pPr>
      <w:r>
        <w:t>repetición aprobada: documentation/evidencias/segundo-parcial/clean-clone.json</w:t>
      </w:r>
    </w:p>
    <w:p>
      <w:pPr>
        <w:pStyle w:val="Caption"/>
      </w:pPr>
      <w:r>
        <w:t>salida: documentation/evidencias/segundo-parcial/regresion-final.txt</w:t>
      </w:r>
    </w:p>
    <w:p>
      <w:pPr>
        <w:pStyle w:val="Caption"/>
      </w:pPr>
      <w:r>
        <w:t>salida: documentation/evidencias/segundo-parcial/salud-complementaria.txt</w:t>
      </w:r>
    </w:p>
    <w:p>
      <w:pPr>
        <w:pStyle w:val="Heading1"/>
      </w:pPr>
      <w:r>
        <w:t>Validación de sesiones Redis — 20 de octubre de 2026</w:t>
      </w:r>
    </w:p>
    <w:p>
      <w:r>
        <w:t>La aplicación utiliza Redis para sesiones técnicas cifradas y concesiones de renovación. PostgreSQL conserva cierres y revocaciones pendientes en web_runtime.session_revocations, con credenciales exclusivas. El navegador recibe una cookie opaca. Los archivos del almacén anterior permanecen en respaldos privados; la aplicación ya no los abre ni los monta.</w:t>
      </w:r>
    </w:p>
    <w:p>
      <w:pPr>
        <w:pStyle w:val="Heading2"/>
      </w:pPr>
      <w:r>
        <w:t>Criterios de aceptación y resultados</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r>
              <w:rPr>
                <w:sz w:val="16"/>
              </w:rPr>
              <w:t>Comprobación</w:t>
            </w:r>
          </w:p>
        </w:tc>
        <w:tc>
          <w:tcPr>
            <w:tcW w:type="dxa" w:w="3360"/>
          </w:tcPr>
          <w:p>
            <w:r>
              <w:rPr>
                <w:sz w:val="16"/>
              </w:rPr>
              <w:t>Resultado observado</w:t>
            </w:r>
          </w:p>
        </w:tc>
        <w:tc>
          <w:tcPr>
            <w:tcW w:type="dxa" w:w="3360"/>
          </w:tcPr>
          <w:p>
            <w:r>
              <w:rPr>
                <w:sz w:val="16"/>
              </w:rPr>
              <w:t>Evidencia</w:t>
            </w:r>
          </w:p>
        </w:tc>
      </w:tr>
      <w:tr>
        <w:tc>
          <w:tcPr>
            <w:tcW w:type="dxa" w:w="3360"/>
          </w:tcPr>
          <w:p>
            <w:r>
              <w:rPr>
                <w:sz w:val="16"/>
              </w:rPr>
              <w:t>Regresión de web, continuidad, seguridad, instalador y contratos</w:t>
            </w:r>
          </w:p>
        </w:tc>
        <w:tc>
          <w:tcPr>
            <w:tcW w:type="dxa" w:w="3360"/>
          </w:tcPr>
          <w:p>
            <w:r>
              <w:rPr>
                <w:sz w:val="16"/>
              </w:rPr>
              <w:t>121 pruebas aprobadas, sin fallos, errores ni omisiones; 798.33 s</w:t>
            </w:r>
          </w:p>
        </w:tc>
        <w:tc>
          <w:tcPr>
            <w:tcW w:type="dxa" w:w="3360"/>
          </w:tcPr>
          <w:p>
            <w:r>
              <w:rPr>
                <w:sz w:val="16"/>
              </w:rPr>
              <w:t>JUnit, salida</w:t>
            </w:r>
          </w:p>
        </w:tc>
      </w:tr>
      <w:tr>
        <w:tc>
          <w:tcPr>
            <w:tcW w:type="dxa" w:w="3360"/>
          </w:tcPr>
          <w:p>
            <w:r>
              <w:rPr>
                <w:sz w:val="16"/>
              </w:rPr>
              <w:t>Validación final del módulo, incluido descifrado fallido</w:t>
            </w:r>
          </w:p>
        </w:tc>
        <w:tc>
          <w:tcPr>
            <w:tcW w:type="dxa" w:w="3360"/>
          </w:tcPr>
          <w:p>
            <w:r>
              <w:rPr>
                <w:sz w:val="16"/>
              </w:rPr>
              <w:t>9 pruebas aprobadas; 82.26 s. Ejecución posterior al endurecimiento del manejo de credenciales indescifrables</w:t>
            </w:r>
          </w:p>
        </w:tc>
        <w:tc>
          <w:tcPr>
            <w:tcW w:type="dxa" w:w="3360"/>
          </w:tcPr>
          <w:p>
            <w:r>
              <w:rPr>
                <w:sz w:val="16"/>
              </w:rPr>
              <w:t>JUnit, salida</w:t>
            </w:r>
          </w:p>
        </w:tc>
      </w:tr>
      <w:tr>
        <w:tc>
          <w:tcPr>
            <w:tcW w:type="dxa" w:w="3360"/>
          </w:tcPr>
          <w:p>
            <w:r>
              <w:rPr>
                <w:sz w:val="16"/>
              </w:rPr>
              <w:t>HTTP real en Docker, backend autónomo y todas las API detenidas</w:t>
            </w:r>
          </w:p>
        </w:tc>
        <w:tc>
          <w:tcPr>
            <w:tcW w:type="dxa" w:w="3360"/>
          </w:tcPr>
          <w:p>
            <w:r>
              <w:rPr>
                <w:sz w:val="16"/>
              </w:rPr>
              <w:t>Login 302, renovación 200, logout 302; cookie cerrada redirige a login. Tokens cifrados, TTL 86380 s; sin volumen de sesiones local</w:t>
            </w:r>
          </w:p>
        </w:tc>
        <w:tc>
          <w:tcPr>
            <w:tcW w:type="dxa" w:w="3360"/>
          </w:tcPr>
          <w:p>
            <w:r>
              <w:rPr>
                <w:sz w:val="16"/>
              </w:rPr>
              <w:t>Docker</w:t>
            </w:r>
          </w:p>
        </w:tc>
      </w:tr>
      <w:tr>
        <w:tc>
          <w:tcPr>
            <w:tcW w:type="dxa" w:w="3360"/>
          </w:tcPr>
          <w:p>
            <w:r>
              <w:rPr>
                <w:sz w:val="16"/>
              </w:rPr>
              <w:t>Migración local y Docker repetible</w:t>
            </w:r>
          </w:p>
        </w:tc>
        <w:tc>
          <w:tcPr>
            <w:tcW w:type="dxa" w:w="3360"/>
          </w:tcPr>
          <w:p>
            <w:r>
              <w:rPr>
                <w:sz w:val="16"/>
              </w:rPr>
              <w:t>120 681 filas locales y 15 122 Docker conservadas, conteos iguales en cada una de las 71 tablas del dominio; credenciales estables al repetir bootstrap</w:t>
            </w:r>
          </w:p>
        </w:tc>
        <w:tc>
          <w:tcPr>
            <w:tcW w:type="dxa" w:w="3360"/>
          </w:tcPr>
          <w:p>
            <w:r>
              <w:rPr>
                <w:sz w:val="16"/>
              </w:rPr>
              <w:t>Migración</w:t>
            </w:r>
          </w:p>
        </w:tc>
      </w:tr>
      <w:tr>
        <w:tc>
          <w:tcPr>
            <w:tcW w:type="dxa" w:w="3360"/>
          </w:tcPr>
          <w:p>
            <w:r>
              <w:rPr>
                <w:sz w:val="16"/>
              </w:rPr>
              <w:t>Respaldo y restauración en motores nuevos</w:t>
            </w:r>
          </w:p>
        </w:tc>
        <w:tc>
          <w:tcPr>
            <w:tcW w:type="dxa" w:w="3360"/>
          </w:tcPr>
          <w:p>
            <w:r>
              <w:rPr>
                <w:sz w:val="16"/>
              </w:rPr>
              <w:t>15209 filas de 72 tablas idénticas por conteo/hash, incluida la cola técnica; rol del portal con acceso técnico y sin acceso al esquema de dominio. Redis restaurado, TTL de prueba 3531 s</w:t>
            </w:r>
          </w:p>
        </w:tc>
        <w:tc>
          <w:tcPr>
            <w:tcW w:type="dxa" w:w="3360"/>
          </w:tcPr>
          <w:p>
            <w:r>
              <w:rPr>
                <w:sz w:val="16"/>
              </w:rPr>
              <w:t>Restauración</w:t>
            </w:r>
          </w:p>
        </w:tc>
      </w:tr>
    </w:tbl>
    <w:p/>
    <w:p>
      <w:r>
        <w:t>Las nueve pruebas finales verifican cifrado y expiración, lectura desde dos instancias web, ACL Redis y permisos SQL, renovación simultánea, logout durante renovación, caída de Redis y recuperación, caída de PostgreSQL, repetición de la actualización y recuperación de una clave de cifrado. No se suman las dos ejecuciones como pruebas distintas: ocho casos del módulo ya están incluidos en la regresión.</w:t>
      </w:r>
    </w:p>
    <w:p>
      <w:pPr>
        <w:pStyle w:val="Heading2"/>
      </w:pPr>
      <w:r>
        <w:t>Comportamiento ante fallos</w:t>
      </w:r>
    </w:p>
    <w:p>
      <w:r>
        <w:t>Las sesiones duran hasta 24 horas; renovar no amplía ese límite. Las concesiones duran 60 segundos y verifican su propietario antes de guardar o liberar. Una renovación concurrente rechazada devuelve 409. La marca PostgreSQL evita reactivar una cookie cerrada desde una copia antigua de Redis.</w:t>
      </w:r>
    </w:p>
    <w:p>
      <w:r>
        <w:t>Si Redis falla durante logout, el cierre queda registrado en PostgreSQL y el worker completa la revocación cuando vuelve Redis. Si PostgreSQL falla, el acceso protegido devuelve 503; logout elimina la cookie, pero responde 503 al no poder confirmar el cierre global. Una credencial indescifrable permanece pendiente, sin marcarse como revocada. Las marcas vencidas se eliminan; las credenciales confirmadas se borran del registro inmediatamente.</w:t>
      </w:r>
    </w:p>
    <w:p>
      <w:pPr>
        <w:pStyle w:val="Heading2"/>
      </w:pPr>
      <w:r>
        <w:t>Reproducción y alcance</w:t>
      </w:r>
    </w:p>
    <w:p>
      <w:r>
        <w:rPr>
          <w:rFonts w:ascii="Consolas" w:hAnsi="Consolas"/>
          <w:sz w:val="16"/>
        </w:rPr>
        <w:t>apps/services/.venv/bin/python -m pytest apps/services/tests/test_web_sessions.py -q</w:t>
        <w:br/>
        <w:t>apps/services/.venv/bin/python deployment/verify_web_sessions.py</w:t>
        <w:br/>
        <w:t>apps/services/.venv/bin/python deployment/backup.py --verify --leave-stopped --output documentation/evidencias/sesiones-redis/backup-restore.json</w:t>
      </w:r>
    </w:p>
    <w:p>
      <w:r>
        <w:t>La prueba pytest usa almacenes temporales independientes. Los comandos Docker requieren una instalación preparada; la verificación HTTP requiere el portal iniciado. El respaldo conserva datos y secretos fuera del repositorio. Las pruebas de caídas usan conexiones a un puerto cerrado y las pruebas de continuidad detienen listeners de API. La restauración usa motores nuevos. No se presenta como prueba de carga sostenida ni de disponibilidad entre hosts.</w:t>
      </w:r>
    </w:p>
    <w:p>
      <w:r>
        <w:t>Las sesiones anteriores ya estaban vencidas: no había sesiones ni revocaciones vigentes que importar. Los usuarios deben iniciar sesión nuevamente. Las guías de instalación local y Docker describen la actualización.</w:t>
      </w:r>
    </w:p>
    <w:p>
      <w:r>
        <w:t>Los incidentes registran un primer fallo por escritura exclusiva de configuración y un error posterior de descubrimiento de fixtures. Ambos fueron corregidos antes de las ejecuciones aprobadas. Las evidencias del 19 de octubre se conservan con su fecha y alcance originales.</w:t>
      </w:r>
    </w:p>
    <w:p>
      <w:pPr>
        <w:pStyle w:val="Heading2"/>
      </w:pPr>
      <w:r>
        <w:t>Referencias y archivos de esta sección</w:t>
      </w:r>
    </w:p>
    <w:p>
      <w:pPr>
        <w:pStyle w:val="Caption"/>
      </w:pPr>
      <w:r>
        <w:t>Docker: deployment/README.md</w:t>
      </w:r>
    </w:p>
    <w:p>
      <w:pPr>
        <w:pStyle w:val="Caption"/>
      </w:pPr>
      <w:r>
        <w:t>Docker: documentation/evidencias/sesiones-redis/docker.json</w:t>
      </w:r>
    </w:p>
    <w:p>
      <w:pPr>
        <w:pStyle w:val="Caption"/>
      </w:pPr>
      <w:r>
        <w:t>JUnit: documentation/evidencias/sesiones-redis/regresion.xml</w:t>
      </w:r>
    </w:p>
    <w:p>
      <w:pPr>
        <w:pStyle w:val="Caption"/>
      </w:pPr>
      <w:r>
        <w:t>JUnit: documentation/evidencias/sesiones-redis/sesiones-final.xml</w:t>
      </w:r>
    </w:p>
    <w:p>
      <w:pPr>
        <w:pStyle w:val="Caption"/>
      </w:pPr>
      <w:r>
        <w:t>Migración: documentation/evidencias/sesiones-redis/migracion.json</w:t>
      </w:r>
    </w:p>
    <w:p>
      <w:pPr>
        <w:pStyle w:val="Caption"/>
      </w:pPr>
      <w:r>
        <w:t>Restauración: documentation/evidencias/sesiones-redis/backup-restore.json</w:t>
      </w:r>
    </w:p>
    <w:p>
      <w:pPr>
        <w:pStyle w:val="Caption"/>
      </w:pPr>
      <w:r>
        <w:t>incidentes: documentation/evidencias/sesiones-redis/incidentes.json</w:t>
      </w:r>
    </w:p>
    <w:p>
      <w:pPr>
        <w:pStyle w:val="Caption"/>
      </w:pPr>
      <w:r>
        <w:t>instalación local: documentation/markdowns/Instalacion_y_operacion.md</w:t>
      </w:r>
    </w:p>
    <w:p>
      <w:pPr>
        <w:pStyle w:val="Caption"/>
      </w:pPr>
      <w:r>
        <w:t>salida: documentation/evidencias/sesiones-redis/regresion.txt</w:t>
      </w:r>
    </w:p>
    <w:p>
      <w:pPr>
        <w:pStyle w:val="Caption"/>
      </w:pPr>
      <w:r>
        <w:t>salida: documentation/evidencias/sesiones-redis/sesiones-final.txt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Red House · Segundo parcial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E24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8E24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8E24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8E243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8E243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