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ns3="http://schemas.openxmlformats.org/drawingml/2006/main" xmlns:ns4="http://schemas.openxmlformats.org/drawingml/2006/picture" w:rsidR="00000000" w:rsidDel="00000000" w:rsidP="00000000" w:rsidRDefault="00000000" w:rsidRPr="00000000" w14:paraId="00000001">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Pr>
        <w:drawing>
          <wp:anchor allowOverlap="1" behindDoc="0" distB="114300" distT="114300" distL="114300" distR="114300" hidden="0" layoutInCell="1" locked="0" relativeHeight="0" simplePos="0">
            <wp:simplePos x="0" y="0"/>
            <wp:positionH relativeFrom="page">
              <wp:posOffset>5972175</wp:posOffset>
            </wp:positionH>
            <wp:positionV relativeFrom="page">
              <wp:posOffset>-3226</wp:posOffset>
            </wp:positionV>
            <wp:extent cx="1814513" cy="907256"/>
            <wp:effectExtent b="0" l="0" r="0" t="0"/>
            <wp:wrapNone/>
            <wp:docPr id="6" name="image5.png"/>
            <ns3:graphic>
              <ns3:graphicData uri="http://schemas.openxmlformats.org/drawingml/2006/picture">
                <ns4:pic>
                  <ns4:nvPicPr>
                    <ns4:cNvPr id="0" name="image5.png"/>
                    <ns4:cNvPicPr preferRelativeResize="0"/>
                  </ns4:nvPicPr>
                  <ns4:blipFill>
                    <ns3:blip r:embed="rId22"/>
                    <ns3:srcRect b="0" l="0" r="0" t="0"/>
                    <ns3:stretch>
                      <ns3:fillRect/>
                    </ns3:stretch>
                  </ns4:blipFill>
                  <ns4:spPr>
                    <ns3:xfrm>
                      <ns3:off x="0" y="0"/>
                      <ns3:ext cx="1814513" cy="907256"/>
                    </ns3:xfrm>
                    <ns3:prstGeom prst="rect"/>
                    <ns3:ln/>
                  </ns4:spPr>
                </ns4:pic>
              </ns3:graphicData>
            </ns3:graphic>
          </wp:anchor>
        </w:drawing>
      </w: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4">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5">
      <w:pPr>
        <w:spacing w:after="0" w:line="240" w:lineRule="auto"/>
        <w:jc w:val="center"/>
        <w:rPr>
          <w:rFonts w:ascii="Times New Roman" w:cs="Times New Roman" w:eastAsia="Times New Roman" w:hAnsi="Times New Roman"/>
          <w:b w:val="1"/>
          <w:bCs w:val="1"/>
          <w:color w:val="000000"/>
          <w:sz w:val="28"/>
          <w:szCs w:val="28"/>
        </w:rPr>
      </w:pPr>
      <w:r w:rsidDel="00000000" w:rsidR="00000000" w:rsidRPr="00000000">
        <w:rPr>
          <w:rtl w:val="0"/>
        </w:rPr>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30"/>
          <w:szCs w:val="30"/>
          <w:rtl w:val="0"/>
        </w:rPr>
        <w:t xml:space="preserve">UNIVERSIDAD DE MONTERREY</w:t>
      </w: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Integración de Aplicaciones Computacionales</w:t>
      </w: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F">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Reporte Técnico Integral - Red House</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0" w:line="240" w:lineRule="auto"/>
        <w:jc w:val="center"/>
        <w:rPr>
          <w:rFonts w:ascii="Times New Roman" w:cs="Times New Roman" w:eastAsia="Times New Roman" w:hAnsi="Times New Roman"/>
          <w:b w:val="1"/>
          <w:bCs w:val="1"/>
          <w:color w:val="000000"/>
          <w:sz w:val="26"/>
          <w:szCs w:val="26"/>
        </w:rPr>
      </w:pPr>
      <w:r w:rsidDel="00000000" w:rsidR="00000000" w:rsidRPr="00000000">
        <w:rPr>
          <w:rtl w:val="0"/>
        </w:rPr>
      </w:r>
    </w:p>
    <w:p w:rsidR="00000000" w:rsidDel="00000000" w:rsidP="00000000" w:rsidRDefault="00000000" w:rsidRPr="00000000" w14:paraId="00000013">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4">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16">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7">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8">
      <w:pPr>
        <w:spacing w:after="0" w:line="276" w:lineRule="auto"/>
        <w:rPr>
          <w:color w:val="000000"/>
          <w:sz w:val="24"/>
          <w:szCs w:val="24"/>
        </w:rPr>
      </w:pPr>
      <w:r w:rsidDel="00000000" w:rsidR="00000000" w:rsidRPr="00000000">
        <w:rPr>
          <w:rtl w:val="0"/>
        </w:rPr>
      </w:r>
    </w:p>
    <w:p w:rsidR="00000000" w:rsidDel="00000000" w:rsidP="00000000" w:rsidRDefault="00000000" w:rsidRPr="00000000" w14:paraId="00000019">
      <w:pPr>
        <w:spacing w:after="0" w:line="276" w:lineRule="auto"/>
        <w:rPr>
          <w:b w:val="1"/>
          <w:bCs w:val="1"/>
          <w:color w:val="000000"/>
          <w:sz w:val="24"/>
          <w:szCs w:val="24"/>
        </w:rPr>
      </w:pPr>
      <w:r w:rsidDel="00000000" w:rsidR="00000000" w:rsidRPr="00000000">
        <w:rPr>
          <w:rtl w:val="0"/>
        </w:rPr>
      </w:r>
    </w:p>
    <w:p w:rsidR="00000000" w:rsidDel="00000000" w:rsidP="00000000" w:rsidRDefault="00000000" w:rsidRPr="00000000" w14:paraId="0000001A">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Galia Sejudo Mireles</w:t>
        <w:tab/>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647144</w:t>
      </w:r>
    </w:p>
    <w:p w:rsidR="00000000" w:rsidDel="00000000" w:rsidP="00000000" w:rsidRDefault="00000000" w:rsidRPr="00000000" w14:paraId="0000001B">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Alejandra Morón Rdz.</w:t>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587823</w:t>
      </w:r>
    </w:p>
    <w:p w:rsidR="00000000" w:rsidDel="00000000" w:rsidP="00000000" w:rsidRDefault="00000000" w:rsidRPr="00000000" w14:paraId="0000001C">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Victor Emiliano Berlanga Mendoza</w:t>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646278</w:t>
      </w:r>
    </w:p>
    <w:p w:rsidR="00000000" w:rsidDel="00000000" w:rsidP="00000000" w:rsidRDefault="00000000" w:rsidRPr="00000000" w14:paraId="0000001D">
      <w:pPr>
        <w:spacing w:after="0" w:line="276" w:lineRule="auto"/>
        <w:ind w:firstLine="720"/>
        <w:rPr>
          <w:color w:val="000000"/>
          <w:sz w:val="24"/>
          <w:szCs w:val="24"/>
        </w:rPr>
      </w:pPr>
      <w:r w:rsidDel="00000000" w:rsidR="00000000" w:rsidRPr="00000000">
        <w:rPr>
          <w:b w:val="1"/>
          <w:bCs w:val="1"/>
          <w:color w:val="000000"/>
          <w:sz w:val="24"/>
          <w:szCs w:val="24"/>
          <w:rtl w:val="0"/>
        </w:rPr>
        <w:t xml:space="preserve">    Nombre</w:t>
      </w:r>
      <w:r w:rsidDel="00000000" w:rsidR="00000000" w:rsidRPr="00000000">
        <w:rPr>
          <w:color w:val="000000"/>
          <w:sz w:val="24"/>
          <w:szCs w:val="24"/>
          <w:rtl w:val="0"/>
        </w:rPr>
        <w:t xml:space="preserve">: Alberto Reyna Ramirez </w:t>
        <w:tab/>
        <w:tab/>
        <w:t xml:space="preserve">    </w:t>
      </w:r>
      <w:r w:rsidDel="00000000" w:rsidR="00000000" w:rsidRPr="00000000">
        <w:rPr>
          <w:b w:val="1"/>
          <w:bCs w:val="1"/>
          <w:color w:val="000000"/>
          <w:sz w:val="24"/>
          <w:szCs w:val="24"/>
          <w:rtl w:val="0"/>
        </w:rPr>
        <w:t xml:space="preserve">Matrícula</w:t>
      </w:r>
      <w:r w:rsidDel="00000000" w:rsidR="00000000" w:rsidRPr="00000000">
        <w:rPr>
          <w:color w:val="000000"/>
          <w:sz w:val="24"/>
          <w:szCs w:val="24"/>
          <w:rtl w:val="0"/>
        </w:rPr>
        <w:t xml:space="preserve">: 602720</w:t>
      </w:r>
    </w:p>
    <w:p w:rsidR="00000000" w:rsidDel="00000000" w:rsidP="00000000" w:rsidRDefault="00000000" w:rsidRPr="00000000" w14:paraId="0000001E">
      <w:pPr>
        <w:spacing w:after="0" w:line="276" w:lineRule="auto"/>
        <w:ind w:left="720" w:firstLine="0"/>
        <w:rPr>
          <w:color w:val="000000"/>
          <w:sz w:val="24"/>
          <w:szCs w:val="24"/>
        </w:rPr>
      </w:pPr>
      <w:r w:rsidDel="00000000" w:rsidR="00000000" w:rsidRPr="00000000">
        <w:rPr>
          <w:b w:val="1"/>
          <w:bCs w:val="1"/>
          <w:color w:val="000000"/>
          <w:sz w:val="24"/>
          <w:szCs w:val="24"/>
          <w:rtl w:val="0"/>
        </w:rPr>
        <w:t xml:space="preserve">   </w:t>
      </w:r>
      <w:r w:rsidDel="00000000" w:rsidR="00000000" w:rsidRPr="00000000">
        <w:rPr>
          <w:rtl w:val="0"/>
        </w:rPr>
      </w:r>
    </w:p>
    <w:p w:rsidR="00000000" w:rsidDel="00000000" w:rsidP="00000000" w:rsidRDefault="00000000" w:rsidRPr="00000000" w14:paraId="0000001F">
      <w:pPr>
        <w:spacing w:after="0" w:line="276" w:lineRule="auto"/>
        <w:jc w:val="center"/>
        <w:rPr>
          <w:color w:val="000000"/>
          <w:sz w:val="24"/>
          <w:szCs w:val="24"/>
        </w:rPr>
      </w:pPr>
      <w:r w:rsidDel="00000000" w:rsidR="00000000" w:rsidRPr="00000000">
        <w:rPr>
          <w:rtl w:val="0"/>
        </w:rPr>
      </w:r>
    </w:p>
    <w:p w:rsidR="00000000" w:rsidDel="00000000" w:rsidP="00000000" w:rsidRDefault="00000000" w:rsidRPr="00000000" w14:paraId="00000020">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1">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2">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3">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4">
      <w:pPr>
        <w:spacing w:after="0" w:line="276" w:lineRule="auto"/>
        <w:rPr>
          <w:rFonts w:ascii="Open Sans" w:cs="Open Sans" w:eastAsia="Open Sans" w:hAnsi="Open Sans"/>
          <w:color w:val="333333"/>
          <w:sz w:val="19"/>
          <w:szCs w:val="19"/>
          <w:shd w:fill="f8f8f8" w:val="clear"/>
        </w:rPr>
      </w:pPr>
      <w:r w:rsidDel="00000000" w:rsidR="00000000" w:rsidRPr="00000000">
        <w:rPr>
          <w:rtl w:val="0"/>
        </w:rPr>
      </w:r>
    </w:p>
    <w:p w:rsidR="00000000" w:rsidDel="00000000" w:rsidP="00000000" w:rsidRDefault="00000000" w:rsidRPr="00000000" w14:paraId="00000025">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6">
      <w:pPr>
        <w:spacing w:after="0" w:line="240" w:lineRule="auto"/>
        <w:jc w:val="center"/>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Profesor</w:t>
      </w:r>
    </w:p>
    <w:p w:rsidR="00000000" w:rsidDel="00000000" w:rsidP="00000000" w:rsidRDefault="00000000" w:rsidRPr="00000000" w14:paraId="00000027">
      <w:pPr>
        <w:spacing w:after="0" w:line="24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Dr. Raúl Morales Salcedo</w:t>
      </w:r>
    </w:p>
    <w:p w:rsidR="00000000" w:rsidDel="00000000" w:rsidP="00000000" w:rsidRDefault="00000000" w:rsidRPr="00000000" w14:paraId="0000002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9">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A">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B">
      <w:pPr>
        <w:spacing w:after="0" w:line="24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C">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2D">
      <w:pPr>
        <w:spacing w:after="0" w:line="240" w:lineRule="auto"/>
        <w:jc w:val="center"/>
        <w:rPr>
          <w:rFonts w:ascii="Times New Roman" w:cs="Times New Roman" w:eastAsia="Times New Roman" w:hAnsi="Times New Roman"/>
          <w:color w:val="000000"/>
          <w:sz w:val="22"/>
          <w:szCs w:val="22"/>
        </w:rPr>
      </w:pPr>
      <w:r>
        <w:t>San Pedro Garza García, Nuevo León · 23 de septiembre de 2026.</w:t>
      </w:r>
    </w:p>
    <w:p w:rsidR="00000000" w:rsidDel="00000000" w:rsidP="00000000" w:rsidRDefault="00000000" w:rsidRPr="00000000" w14:paraId="0000002E">
      <w:pPr>
        <w:spacing w:after="0" w:line="240" w:lineRule="auto"/>
        <w:jc w:val="center"/>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b w:val="1"/>
          <w:bCs w:val="1"/>
          <w:color w:val="000000"/>
          <w:sz w:val="22"/>
          <w:szCs w:val="22"/>
          <w:rtl w:val="0"/>
        </w:rPr>
        <w:t xml:space="preserve">“Damos nuestra palabra que hemos realizado esta actividad con integridad académica”</w:t>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pPr>
        <w:pStyle w:val="Title"/>
      </w:pPr>
      <w:r>
        <w:t>Índice</w:t>
      </w:r>
    </w:p>
    <w:p>
      <w:pPr>
        <w:tabs>
          <w:tab w:pos="10224" w:val="right" w:leader="dot"/>
        </w:tabs>
        <w:spacing w:after="80" w:line="240" w:lineRule="auto"/>
        <w:ind w:left="0"/>
      </w:pPr>
      <w:hyperlink w:anchor="report_section_1">
        <w:r>
          <w:t>1. Resumen ejecutivo y problema</w:t>
        </w:r>
        <w:r>
          <w:tab/>
        </w:r>
        <w:r>
          <w:t>3</w:t>
        </w:r>
      </w:hyperlink>
    </w:p>
    <w:p>
      <w:pPr>
        <w:tabs>
          <w:tab w:pos="10224" w:val="right" w:leader="dot"/>
        </w:tabs>
        <w:spacing w:after="80" w:line="240" w:lineRule="auto"/>
        <w:ind w:left="0"/>
      </w:pPr>
      <w:hyperlink w:anchor="report_section_2">
        <w:r>
          <w:t>2. Objetivos, alcance y actores</w:t>
        </w:r>
        <w:r>
          <w:tab/>
        </w:r>
        <w:r>
          <w:t>3</w:t>
        </w:r>
      </w:hyperlink>
    </w:p>
    <w:p>
      <w:pPr>
        <w:tabs>
          <w:tab w:pos="10224" w:val="right" w:leader="dot"/>
        </w:tabs>
        <w:spacing w:after="80" w:line="240" w:lineRule="auto"/>
        <w:ind w:left="0"/>
      </w:pPr>
      <w:hyperlink w:anchor="report_section_3">
        <w:r>
          <w:t>3. Requisitos y trazabilidad</w:t>
        </w:r>
        <w:r>
          <w:tab/>
        </w:r>
        <w:r>
          <w:t>4</w:t>
        </w:r>
      </w:hyperlink>
    </w:p>
    <w:p>
      <w:pPr>
        <w:tabs>
          <w:tab w:pos="10224" w:val="right" w:leader="dot"/>
        </w:tabs>
        <w:spacing w:after="80" w:line="240" w:lineRule="auto"/>
        <w:ind w:left="0"/>
      </w:pPr>
      <w:hyperlink w:anchor="report_section_4">
        <w:r>
          <w:t>4. Arquitectura y continuidad</w:t>
        </w:r>
        <w:r>
          <w:tab/>
        </w:r>
        <w:r>
          <w:t>5</w:t>
        </w:r>
      </w:hyperlink>
    </w:p>
    <w:p>
      <w:pPr>
        <w:tabs>
          <w:tab w:pos="10224" w:val="right" w:leader="dot"/>
        </w:tabs>
        <w:spacing w:after="80" w:line="240" w:lineRule="auto"/>
        <w:ind w:left="0"/>
      </w:pPr>
      <w:hyperlink w:anchor="report_section_5">
        <w:r>
          <w:t>5. Procesos integrados</w:t>
        </w:r>
        <w:r>
          <w:tab/>
        </w:r>
        <w:r>
          <w:t>7</w:t>
        </w:r>
      </w:hyperlink>
    </w:p>
    <w:p>
      <w:pPr>
        <w:tabs>
          <w:tab w:pos="10224" w:val="right" w:leader="dot"/>
        </w:tabs>
        <w:spacing w:after="80" w:line="240" w:lineRule="auto"/>
        <w:ind w:left="0"/>
      </w:pPr>
      <w:hyperlink w:anchor="report_section_6">
        <w:r>
          <w:t>6. Persistencia y modelo físico</w:t>
        </w:r>
        <w:r>
          <w:tab/>
        </w:r>
        <w:r>
          <w:t>9</w:t>
        </w:r>
      </w:hyperlink>
    </w:p>
    <w:p>
      <w:pPr>
        <w:tabs>
          <w:tab w:pos="10224" w:val="right" w:leader="dot"/>
        </w:tabs>
        <w:spacing w:after="80" w:line="240" w:lineRule="auto"/>
        <w:ind w:left="0"/>
      </w:pPr>
      <w:hyperlink w:anchor="report_section_7">
        <w:r>
          <w:t>7. Servicios, contratos y comunicación</w:t>
        </w:r>
        <w:r>
          <w:tab/>
        </w:r>
        <w:r>
          <w:t>12</w:t>
        </w:r>
      </w:hyperlink>
    </w:p>
    <w:p>
      <w:pPr>
        <w:tabs>
          <w:tab w:pos="10224" w:val="right" w:leader="dot"/>
        </w:tabs>
        <w:spacing w:after="80" w:line="240" w:lineRule="auto"/>
        <w:ind w:left="0"/>
      </w:pPr>
      <w:hyperlink w:anchor="report_section_8">
        <w:r>
          <w:t>8. Seguridad y consistencia</w:t>
        </w:r>
        <w:r>
          <w:tab/>
        </w:r>
        <w:r>
          <w:t>12</w:t>
        </w:r>
      </w:hyperlink>
    </w:p>
    <w:p>
      <w:pPr>
        <w:tabs>
          <w:tab w:pos="10224" w:val="right" w:leader="dot"/>
        </w:tabs>
        <w:spacing w:after="80" w:line="240" w:lineRule="auto"/>
        <w:ind w:left="0"/>
      </w:pPr>
      <w:hyperlink w:anchor="report_section_9">
        <w:r>
          <w:t>9. Algoritmos</w:t>
        </w:r>
        <w:r>
          <w:tab/>
        </w:r>
        <w:r>
          <w:t>12</w:t>
        </w:r>
      </w:hyperlink>
    </w:p>
    <w:p>
      <w:pPr>
        <w:tabs>
          <w:tab w:pos="10224" w:val="right" w:leader="dot"/>
        </w:tabs>
        <w:spacing w:after="80" w:line="240" w:lineRule="auto"/>
        <w:ind w:left="0"/>
      </w:pPr>
      <w:hyperlink w:anchor="report_section_10">
        <w:r>
          <w:t>10. Instalación, operación y recuperación</w:t>
        </w:r>
        <w:r>
          <w:tab/>
        </w:r>
        <w:r>
          <w:t>13</w:t>
        </w:r>
      </w:hyperlink>
    </w:p>
    <w:p>
      <w:pPr>
        <w:tabs>
          <w:tab w:pos="10224" w:val="right" w:leader="dot"/>
        </w:tabs>
        <w:spacing w:after="80" w:line="240" w:lineRule="auto"/>
        <w:ind w:left="0"/>
      </w:pPr>
      <w:hyperlink w:anchor="report_section_11">
        <w:r>
          <w:t>11. Pruebas, evidencia y criterios de aceptación</w:t>
        </w:r>
        <w:r>
          <w:tab/>
        </w:r>
        <w:r>
          <w:t>14</w:t>
        </w:r>
      </w:hyperlink>
    </w:p>
    <w:p>
      <w:pPr>
        <w:tabs>
          <w:tab w:pos="10224" w:val="right" w:leader="dot"/>
        </w:tabs>
        <w:spacing w:after="80" w:line="240" w:lineRule="auto"/>
        <w:ind w:left="0"/>
      </w:pPr>
      <w:hyperlink w:anchor="report_section_12">
        <w:r>
          <w:t>12. Limitaciones del alcance</w:t>
        </w:r>
        <w:r>
          <w:tab/>
        </w:r>
        <w:r>
          <w:t>15</w:t>
        </w:r>
      </w:hyperlink>
    </w:p>
    <w:p>
      <w:pPr>
        <w:tabs>
          <w:tab w:pos="10224" w:val="right" w:leader="dot"/>
        </w:tabs>
        <w:spacing w:after="80" w:line="240" w:lineRule="auto"/>
        <w:ind w:left="0"/>
      </w:pPr>
      <w:hyperlink w:anchor="report_section_13">
        <w:r>
          <w:t>13. Catálogo de microservicios</w:t>
        </w:r>
        <w:r>
          <w:tab/>
        </w:r>
        <w:r>
          <w:t>16</w:t>
        </w:r>
      </w:hyperlink>
    </w:p>
    <w:p>
      <w:pPr>
        <w:tabs>
          <w:tab w:pos="9864" w:val="right" w:leader="dot"/>
        </w:tabs>
        <w:spacing w:after="80" w:line="240" w:lineRule="auto"/>
        <w:ind w:left="360"/>
      </w:pPr>
      <w:hyperlink w:anchor="report_section_14">
        <w:r>
          <w:t>13.1. Identidad y acceso</w:t>
        </w:r>
        <w:r>
          <w:tab/>
        </w:r>
        <w:r>
          <w:t>16</w:t>
        </w:r>
      </w:hyperlink>
    </w:p>
    <w:p>
      <w:pPr>
        <w:tabs>
          <w:tab w:pos="9864" w:val="right" w:leader="dot"/>
        </w:tabs>
        <w:spacing w:after="80" w:line="240" w:lineRule="auto"/>
        <w:ind w:left="360"/>
      </w:pPr>
      <w:hyperlink w:anchor="report_section_15">
        <w:r>
          <w:t>13.2. Donantes</w:t>
        </w:r>
        <w:r>
          <w:tab/>
        </w:r>
        <w:r>
          <w:t>20</w:t>
        </w:r>
      </w:hyperlink>
    </w:p>
    <w:p>
      <w:pPr>
        <w:tabs>
          <w:tab w:pos="9864" w:val="right" w:leader="dot"/>
        </w:tabs>
        <w:spacing w:after="80" w:line="240" w:lineRule="auto"/>
        <w:ind w:left="360"/>
      </w:pPr>
      <w:hyperlink w:anchor="report_section_16">
        <w:r>
          <w:t>13.3. Receptores y solicitudes</w:t>
        </w:r>
        <w:r>
          <w:tab/>
        </w:r>
        <w:r>
          <w:t>22</w:t>
        </w:r>
      </w:hyperlink>
    </w:p>
    <w:p>
      <w:pPr>
        <w:tabs>
          <w:tab w:pos="9864" w:val="right" w:leader="dot"/>
        </w:tabs>
        <w:spacing w:after="80" w:line="240" w:lineRule="auto"/>
        <w:ind w:left="360"/>
      </w:pPr>
      <w:hyperlink w:anchor="report_section_17">
        <w:r>
          <w:t>13.4. Inventario y reservas</w:t>
        </w:r>
        <w:r>
          <w:tab/>
        </w:r>
        <w:r>
          <w:t>25</w:t>
        </w:r>
      </w:hyperlink>
    </w:p>
    <w:p>
      <w:pPr>
        <w:tabs>
          <w:tab w:pos="9864" w:val="right" w:leader="dot"/>
        </w:tabs>
        <w:spacing w:after="80" w:line="240" w:lineRule="auto"/>
        <w:ind w:left="360"/>
      </w:pPr>
      <w:hyperlink w:anchor="report_section_18">
        <w:r>
          <w:t>13.5. Compatibilidad</w:t>
        </w:r>
        <w:r>
          <w:tab/>
        </w:r>
        <w:r>
          <w:t>27</w:t>
        </w:r>
      </w:hyperlink>
    </w:p>
    <w:p>
      <w:pPr>
        <w:tabs>
          <w:tab w:pos="9864" w:val="right" w:leader="dot"/>
        </w:tabs>
        <w:spacing w:after="80" w:line="240" w:lineRule="auto"/>
        <w:ind w:left="360"/>
      </w:pPr>
      <w:hyperlink w:anchor="report_section_19">
        <w:r>
          <w:t>13.6. Priorización y geografía</w:t>
        </w:r>
        <w:r>
          <w:tab/>
        </w:r>
        <w:r>
          <w:t>29</w:t>
        </w:r>
      </w:hyperlink>
    </w:p>
    <w:p>
      <w:pPr>
        <w:tabs>
          <w:tab w:pos="9864" w:val="right" w:leader="dot"/>
        </w:tabs>
        <w:spacing w:after="80" w:line="240" w:lineRule="auto"/>
        <w:ind w:left="360"/>
      </w:pPr>
      <w:hyperlink w:anchor="report_section_20">
        <w:r>
          <w:t>13.7. Transporte</w:t>
        </w:r>
        <w:r>
          <w:tab/>
        </w:r>
        <w:r>
          <w:t>31</w:t>
        </w:r>
      </w:hyperlink>
    </w:p>
    <w:p>
      <w:pPr>
        <w:tabs>
          <w:tab w:pos="9864" w:val="right" w:leader="dot"/>
        </w:tabs>
        <w:spacing w:after="80" w:line="240" w:lineRule="auto"/>
        <w:ind w:left="360"/>
      </w:pPr>
      <w:hyperlink w:anchor="report_section_21">
        <w:r>
          <w:t>13.8. Cadena de custodia</w:t>
        </w:r>
        <w:r>
          <w:tab/>
        </w:r>
        <w:r>
          <w:t>33</w:t>
        </w:r>
      </w:hyperlink>
    </w:p>
    <w:p>
      <w:pPr>
        <w:tabs>
          <w:tab w:pos="9864" w:val="right" w:leader="dot"/>
        </w:tabs>
        <w:spacing w:after="80" w:line="240" w:lineRule="auto"/>
        <w:ind w:left="360"/>
      </w:pPr>
      <w:hyperlink w:anchor="report_section_22">
        <w:r>
          <w:t>13.9. Alertas</w:t>
        </w:r>
        <w:r>
          <w:tab/>
        </w:r>
        <w:r>
          <w:t>34</w:t>
        </w:r>
      </w:hyperlink>
    </w:p>
    <w:p>
      <w:pPr>
        <w:tabs>
          <w:tab w:pos="9864" w:val="right" w:leader="dot"/>
        </w:tabs>
        <w:spacing w:after="80" w:line="240" w:lineRule="auto"/>
        <w:ind w:left="360"/>
      </w:pPr>
      <w:hyperlink w:anchor="report_section_23">
        <w:r>
          <w:t>13.10. Auditoría</w:t>
        </w:r>
        <w:r>
          <w:tab/>
        </w:r>
        <w:r>
          <w:t>35</w:t>
        </w:r>
      </w:hyperlink>
    </w:p>
    <w:p>
      <w:pPr>
        <w:tabs>
          <w:tab w:pos="9864" w:val="right" w:leader="dot"/>
        </w:tabs>
        <w:spacing w:after="80" w:line="240" w:lineRule="auto"/>
        <w:ind w:left="360"/>
      </w:pPr>
      <w:hyperlink w:anchor="report_section_24">
        <w:r>
          <w:t>13.11. Monitoreo</w:t>
        </w:r>
        <w:r>
          <w:tab/>
        </w:r>
        <w:r>
          <w:t>37</w:t>
        </w:r>
      </w:hyperlink>
    </w:p>
    <w:p>
      <w:pPr>
        <w:tabs>
          <w:tab w:pos="10224" w:val="right" w:leader="dot"/>
        </w:tabs>
        <w:spacing w:after="80" w:line="240" w:lineRule="auto"/>
        <w:ind w:left="0"/>
      </w:pPr>
      <w:hyperlink w:anchor="report_section_25">
        <w:r>
          <w:t>14. Referencias</w:t>
        </w:r>
        <w:r>
          <w:tab/>
        </w:r>
        <w:r>
          <w:t>39</w:t>
        </w:r>
      </w:hyperlink>
    </w:p>
    <w:p>
      <w:pPr>
        <w:pStyle w:val="Title"/>
        <w:pageBreakBefore/>
      </w:pPr>
      <w:r>
        <w:t>Red House: documento técnico del segundo parcial</w:t>
      </w:r>
    </w:p>
    <w:p>
      <w:r>
        <w:t>Proyecto 6, equipo 01. Entrega: 22 de octubre de 2026. Edición de implementación 0.3.0. Este documento presenta la arquitectura, los procesos, los contratos y los resultados de validación del sistema. Las fuentes técnicas y los artefactos de respaldo se reúnen en las referencias finales.</w:t>
      </w:r>
    </w:p>
    <w:p>
      <w:pPr>
        <w:pStyle w:val="Heading1"/>
      </w:pPr>
      <w:bookmarkStart w:id="1" w:name="report_section_1"/>
      <w:r>
        <w:t>1. Resumen ejecutivo y problema</w:t>
      </w:r>
      <w:bookmarkEnd w:id="1"/>
    </w:p>
    <w:p>
      <w:r>
        <w:t>Red House coordina una red regional de bancos de sangre e instituciones participantes. Una institución registra recursos disponibles y otra solicita su traslado; el sistema conserva quién registró, evaluó, autorizó, reservó, transportó y recibió cada recurso. El problema operativo es la dispersión de información, las reservas concurrentes, la pérdida de trazabilidad y la dificultad para distinguir disponibilidad real de información desactualizada.</w:t>
      </w:r>
    </w:p>
    <w:p>
      <w:r>
        <w:t>La entrega integra un portal Flask/Jinja2, diez servicios de dominio y un servicio de Monitoreo. PostgreSQL conserva la información transaccional en una base compartida con permisos separados. Redis participa en cada petición protegida. MongoDB conserva eventos, telemetría y proyecciones documentales. Google Cloud Storage almacena evidencias privadas. Docker proporciona un entorno separado del entorno habitual, con dos instancias por API y un gateway.</w:t>
      </w:r>
    </w:p>
    <w:p>
      <w:r>
        <w:t>El portal incorpora su propio backend modular. Ejecuta los mismos módulos versionados de aplicación que se empaquetan en los servicios, con las mismas validaciones, autorización y persistencia. Por ello puede ejecutar operaciones cuando las API están detenidas. Los futuros clientes Android y escritorio utilizarán exclusivamente las API con JSON y XML, respectivamente; su implementación está fuera de este parcial.</w:t>
      </w:r>
    </w:p>
    <w:p>
      <w:r>
        <w:t>Este es un sistema académico de coordinación y apoyo. La elegibilidad, compatibilidad clínica, conservación, asignación y trasplante requieren valoración y autorización profesional. Un resultado del algoritmo no constituye autorización clínica. Los datos de las pruebas son ficticios.</w:t>
      </w:r>
    </w:p>
    <w:p>
      <w:pPr>
        <w:pStyle w:val="Heading1"/>
      </w:pPr>
      <w:bookmarkStart w:id="2" w:name="report_section_2"/>
      <w:r>
        <w:t>2. Objetivos, alcance y actores</w:t>
      </w:r>
      <w:bookmarkEnd w:id="2"/>
    </w:p>
    <w:p>
      <w:r>
        <w:t>El objetivo general es ejecutar y demostrar procesos regionales trazables, con seguridad común, persistencia real y continuidad ante la caída de una instancia de aplicación.</w:t>
      </w:r>
    </w:p>
    <w:p>
      <w:r>
        <w:t>Los objetivos específicos son conservar registros de donantes y receptores; controlar inventario y solicitudes; obtener candidatos explicables; registrar revisión humana; impedir reservas duplicadas; coordinar traslado y recepción; conservar custodia, notificaciones y auditoría; demostrar contratos JSON/XML; y reproducir el despliegue con contenedores y secretos externos.</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3408"/>
        <w:gridCol w:w="3408"/>
        <w:gridCol w:w="3408"/>
      </w:tblGrid>
      <w:tr>
        <w:trPr>
          <w:tblHeader/>
          <w:cantSplit/>
        </w:trPr>
        <w:tc>
          <w:tcPr>
            <w:tcW w:type="dxa" w:w="3408"/>
            <w:shd w:fill="991B1B"/>
            <w:tcMar>
              <w:top w:w="80" w:type="dxa"/>
              <w:bottom w:w="80" w:type="dxa"/>
            </w:tcMar>
          </w:tcPr>
          <w:p>
            <w:pPr>
              <w:spacing w:after="0" w:line="240" w:lineRule="auto"/>
            </w:pPr>
            <w:r>
              <w:rPr>
                <w:rFonts w:ascii="Arial" w:hAnsi="Arial"/>
                <w:b/>
                <w:color w:val="FFFFFF"/>
                <w:sz w:val="18"/>
              </w:rPr>
              <w:t>Actor</w:t>
            </w:r>
          </w:p>
        </w:tc>
        <w:tc>
          <w:tcPr>
            <w:tcW w:type="dxa" w:w="3408"/>
            <w:shd w:fill="991B1B"/>
            <w:tcMar>
              <w:top w:w="80" w:type="dxa"/>
              <w:bottom w:w="80" w:type="dxa"/>
            </w:tcMar>
          </w:tcPr>
          <w:p>
            <w:pPr>
              <w:spacing w:after="0" w:line="240" w:lineRule="auto"/>
            </w:pPr>
            <w:r>
              <w:rPr>
                <w:rFonts w:ascii="Arial" w:hAnsi="Arial"/>
                <w:b/>
                <w:color w:val="FFFFFF"/>
                <w:sz w:val="18"/>
              </w:rPr>
              <w:t>Responsabilidad implementada</w:t>
            </w:r>
          </w:p>
        </w:tc>
        <w:tc>
          <w:tcPr>
            <w:tcW w:type="dxa" w:w="3408"/>
            <w:shd w:fill="991B1B"/>
            <w:tcMar>
              <w:top w:w="80" w:type="dxa"/>
              <w:bottom w:w="80" w:type="dxa"/>
            </w:tcMar>
          </w:tcPr>
          <w:p>
            <w:pPr>
              <w:spacing w:after="0" w:line="240" w:lineRule="auto"/>
            </w:pPr>
            <w:r>
              <w:rPr>
                <w:rFonts w:ascii="Arial" w:hAnsi="Arial"/>
                <w:b/>
                <w:color w:val="FFFFFF"/>
                <w:sz w:val="18"/>
              </w:rPr>
              <w:t>Restricción principal</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Administrador</w:t>
            </w:r>
          </w:p>
        </w:tc>
        <w:tc>
          <w:tcPr>
            <w:tcW w:type="dxa" w:w="3408"/>
            <w:shd w:fill="FFFFFF"/>
            <w:tcMar>
              <w:top w:w="80" w:type="dxa"/>
              <w:bottom w:w="80" w:type="dxa"/>
            </w:tcMar>
          </w:tcPr>
          <w:p>
            <w:pPr>
              <w:spacing w:after="0" w:line="240" w:lineRule="auto"/>
            </w:pPr>
            <w:r>
              <w:rPr>
                <w:rFonts w:ascii="Arial" w:hAnsi="Arial"/>
                <w:b w:val="0"/>
                <w:color w:val="1F2933"/>
                <w:sz w:val="18"/>
              </w:rPr>
              <w:t>Usuarios, instituciones y catálogos autorizados</w:t>
            </w:r>
          </w:p>
        </w:tc>
        <w:tc>
          <w:tcPr>
            <w:tcW w:type="dxa" w:w="3408"/>
            <w:shd w:fill="FFFFFF"/>
            <w:tcMar>
              <w:top w:w="80" w:type="dxa"/>
              <w:bottom w:w="80" w:type="dxa"/>
            </w:tcMar>
          </w:tcPr>
          <w:p>
            <w:pPr>
              <w:spacing w:after="0" w:line="240" w:lineRule="auto"/>
            </w:pPr>
            <w:r>
              <w:rPr>
                <w:rFonts w:ascii="Arial" w:hAnsi="Arial"/>
                <w:b w:val="0"/>
                <w:color w:val="1F2933"/>
                <w:sz w:val="18"/>
              </w:rPr>
              <w:t>Administrar cuentas no concede acceso clínico general</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Médico</w:t>
            </w:r>
          </w:p>
        </w:tc>
        <w:tc>
          <w:tcPr>
            <w:tcW w:type="dxa" w:w="3408"/>
            <w:shd w:fill="FFFFFF"/>
            <w:tcMar>
              <w:top w:w="80" w:type="dxa"/>
              <w:bottom w:w="80" w:type="dxa"/>
            </w:tcMar>
          </w:tcPr>
          <w:p>
            <w:pPr>
              <w:spacing w:after="0" w:line="240" w:lineRule="auto"/>
            </w:pPr>
            <w:r>
              <w:rPr>
                <w:rFonts w:ascii="Arial" w:hAnsi="Arial"/>
                <w:b w:val="0"/>
                <w:color w:val="1F2933"/>
                <w:sz w:val="18"/>
              </w:rPr>
              <w:t>Receptores, solicitudes, dictámenes, liberación y reserva</w:t>
            </w:r>
          </w:p>
        </w:tc>
        <w:tc>
          <w:tcPr>
            <w:tcW w:type="dxa" w:w="3408"/>
            <w:shd w:fill="FFFFFF"/>
            <w:tcMar>
              <w:top w:w="80" w:type="dxa"/>
              <w:bottom w:w="80" w:type="dxa"/>
            </w:tcMar>
          </w:tcPr>
          <w:p>
            <w:pPr>
              <w:spacing w:after="0" w:line="240" w:lineRule="auto"/>
            </w:pPr>
            <w:r>
              <w:rPr>
                <w:rFonts w:ascii="Arial" w:hAnsi="Arial"/>
                <w:b w:val="0"/>
                <w:color w:val="1F2933"/>
                <w:sz w:val="18"/>
              </w:rPr>
              <w:t>Ámbito institucional, versión de registro y confirmación humana</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Operador de banco</w:t>
            </w:r>
          </w:p>
        </w:tc>
        <w:tc>
          <w:tcPr>
            <w:tcW w:type="dxa" w:w="3408"/>
            <w:shd w:fill="FFFFFF"/>
            <w:tcMar>
              <w:top w:w="80" w:type="dxa"/>
              <w:bottom w:w="80" w:type="dxa"/>
            </w:tcMar>
          </w:tcPr>
          <w:p>
            <w:pPr>
              <w:spacing w:after="0" w:line="240" w:lineRule="auto"/>
            </w:pPr>
            <w:r>
              <w:rPr>
                <w:rFonts w:ascii="Arial" w:hAnsi="Arial"/>
                <w:b w:val="0"/>
                <w:color w:val="1F2933"/>
                <w:sz w:val="18"/>
              </w:rPr>
              <w:t>Registro de recursos, donaciones, preparación y recepción</w:t>
            </w:r>
          </w:p>
        </w:tc>
        <w:tc>
          <w:tcPr>
            <w:tcW w:type="dxa" w:w="3408"/>
            <w:shd w:fill="FFFFFF"/>
            <w:tcMar>
              <w:top w:w="80" w:type="dxa"/>
              <w:bottom w:w="80" w:type="dxa"/>
            </w:tcMar>
          </w:tcPr>
          <w:p>
            <w:pPr>
              <w:spacing w:after="0" w:line="240" w:lineRule="auto"/>
            </w:pPr>
            <w:r>
              <w:rPr>
                <w:rFonts w:ascii="Arial" w:hAnsi="Arial"/>
                <w:b w:val="0"/>
                <w:color w:val="1F2933"/>
                <w:sz w:val="18"/>
              </w:rPr>
              <w:t>Institución participante en el recurso o traslado</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Coordinador regional</w:t>
            </w:r>
          </w:p>
        </w:tc>
        <w:tc>
          <w:tcPr>
            <w:tcW w:type="dxa" w:w="3408"/>
            <w:shd w:fill="FFFFFF"/>
            <w:tcMar>
              <w:top w:w="80" w:type="dxa"/>
              <w:bottom w:w="80" w:type="dxa"/>
            </w:tcMar>
          </w:tcPr>
          <w:p>
            <w:pPr>
              <w:spacing w:after="0" w:line="240" w:lineRule="auto"/>
            </w:pPr>
            <w:r>
              <w:rPr>
                <w:rFonts w:ascii="Arial" w:hAnsi="Arial"/>
                <w:b w:val="0"/>
                <w:color w:val="1F2933"/>
                <w:sz w:val="18"/>
              </w:rPr>
              <w:t>Rutas, planeación, seguimiento y panel regional</w:t>
            </w:r>
          </w:p>
        </w:tc>
        <w:tc>
          <w:tcPr>
            <w:tcW w:type="dxa" w:w="3408"/>
            <w:shd w:fill="FFFFFF"/>
            <w:tcMar>
              <w:top w:w="80" w:type="dxa"/>
              <w:bottom w:w="80" w:type="dxa"/>
            </w:tcMar>
          </w:tcPr>
          <w:p>
            <w:pPr>
              <w:spacing w:after="0" w:line="240" w:lineRule="auto"/>
            </w:pPr>
            <w:r>
              <w:rPr>
                <w:rFonts w:ascii="Arial" w:hAnsi="Arial"/>
                <w:b w:val="0"/>
                <w:color w:val="1F2933"/>
                <w:sz w:val="18"/>
              </w:rPr>
              <w:t>Región asignada; no sustituye dictamen médico</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Transportista</w:t>
            </w:r>
          </w:p>
        </w:tc>
        <w:tc>
          <w:tcPr>
            <w:tcW w:type="dxa" w:w="3408"/>
            <w:shd w:fill="FFFFFF"/>
            <w:tcMar>
              <w:top w:w="80" w:type="dxa"/>
              <w:bottom w:w="80" w:type="dxa"/>
            </w:tcMar>
          </w:tcPr>
          <w:p>
            <w:pPr>
              <w:spacing w:after="0" w:line="240" w:lineRule="auto"/>
            </w:pPr>
            <w:r>
              <w:rPr>
                <w:rFonts w:ascii="Arial" w:hAnsi="Arial"/>
                <w:b w:val="0"/>
                <w:color w:val="1F2933"/>
                <w:sz w:val="18"/>
              </w:rPr>
              <w:t>Recolección, traslado, entrega y ubicación</w:t>
            </w:r>
          </w:p>
        </w:tc>
        <w:tc>
          <w:tcPr>
            <w:tcW w:type="dxa" w:w="3408"/>
            <w:shd w:fill="FFFFFF"/>
            <w:tcMar>
              <w:top w:w="80" w:type="dxa"/>
              <w:bottom w:w="80" w:type="dxa"/>
            </w:tcMar>
          </w:tcPr>
          <w:p>
            <w:pPr>
              <w:spacing w:after="0" w:line="240" w:lineRule="auto"/>
            </w:pPr>
            <w:r>
              <w:rPr>
                <w:rFonts w:ascii="Arial" w:hAnsi="Arial"/>
                <w:b w:val="0"/>
                <w:color w:val="1F2933"/>
                <w:sz w:val="18"/>
              </w:rPr>
              <w:t>Solo traslados asignados y estados autorizados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Auditor</w:t>
            </w:r>
          </w:p>
        </w:tc>
        <w:tc>
          <w:tcPr>
            <w:tcW w:type="dxa" w:w="3408"/>
            <w:shd w:fill="FFFFFF"/>
            <w:tcMar>
              <w:top w:w="80" w:type="dxa"/>
              <w:bottom w:w="80" w:type="dxa"/>
            </w:tcMar>
          </w:tcPr>
          <w:p>
            <w:pPr>
              <w:spacing w:after="0" w:line="240" w:lineRule="auto"/>
            </w:pPr>
            <w:r>
              <w:rPr>
                <w:rFonts w:ascii="Arial" w:hAnsi="Arial"/>
                <w:b w:val="0"/>
                <w:color w:val="1F2933"/>
                <w:sz w:val="18"/>
              </w:rPr>
              <w:t>Historial minimizado y monitoreo</w:t>
            </w:r>
          </w:p>
        </w:tc>
        <w:tc>
          <w:tcPr>
            <w:tcW w:type="dxa" w:w="3408"/>
            <w:shd w:fill="FFFFFF"/>
            <w:tcMar>
              <w:top w:w="80" w:type="dxa"/>
              <w:bottom w:w="80" w:type="dxa"/>
            </w:tcMar>
          </w:tcPr>
          <w:p>
            <w:pPr>
              <w:spacing w:after="0" w:line="240" w:lineRule="auto"/>
            </w:pPr>
            <w:r>
              <w:rPr>
                <w:rFonts w:ascii="Arial" w:hAnsi="Arial"/>
                <w:b w:val="0"/>
                <w:color w:val="1F2933"/>
                <w:sz w:val="18"/>
              </w:rPr>
              <w:t>Región y perfil; no modifica eventos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Donante</w:t>
            </w:r>
          </w:p>
        </w:tc>
        <w:tc>
          <w:tcPr>
            <w:tcW w:type="dxa" w:w="3408"/>
            <w:shd w:fill="FFFFFF"/>
            <w:tcMar>
              <w:top w:w="80" w:type="dxa"/>
              <w:bottom w:w="80" w:type="dxa"/>
            </w:tcMar>
          </w:tcPr>
          <w:p>
            <w:pPr>
              <w:spacing w:after="0" w:line="240" w:lineRule="auto"/>
            </w:pPr>
            <w:r>
              <w:rPr>
                <w:rFonts w:ascii="Arial" w:hAnsi="Arial"/>
                <w:b w:val="0"/>
                <w:color w:val="1F2933"/>
                <w:sz w:val="18"/>
              </w:rPr>
              <w:t>Registro preliminar, campañas, citas y avisos propios</w:t>
            </w:r>
          </w:p>
        </w:tc>
        <w:tc>
          <w:tcPr>
            <w:tcW w:type="dxa" w:w="3408"/>
            <w:shd w:fill="FFFFFF"/>
            <w:tcMar>
              <w:top w:w="80" w:type="dxa"/>
              <w:bottom w:w="80" w:type="dxa"/>
            </w:tcMar>
          </w:tcPr>
          <w:p>
            <w:pPr>
              <w:spacing w:after="0" w:line="240" w:lineRule="auto"/>
            </w:pPr>
            <w:r>
              <w:rPr>
                <w:rFonts w:ascii="Arial" w:hAnsi="Arial"/>
                <w:b w:val="0"/>
                <w:color w:val="1F2933"/>
                <w:sz w:val="18"/>
              </w:rPr>
              <w:t>Acceso a su cuenta y expediente autorizado</w:t>
            </w:r>
          </w:p>
        </w:tc>
      </w:tr>
    </w:tbl>
    <w:p/>
    <w:p>
      <w:r>
        <w:t>La implementación distingue sangre y órganos mediante tipos, componentes, estados y reglas de evaluación. No interpreta HLA ni decide aptitud clínica. No implementa Android ni escritorio. La recuperación automatizada de contraseña, email/push, agenda detallada por sede/hora y reportes regulatorios certificados continúan pendientes. La ayuda de acceso y la exportación CSV de una página no se presentan como esas funciones.</w:t>
      </w:r>
    </w:p>
    <w:p>
      <w:pPr>
        <w:pStyle w:val="Heading1"/>
      </w:pPr>
      <w:bookmarkStart w:id="3" w:name="report_section_3"/>
      <w:r>
        <w:t>3. Requisitos y trazabilidad</w:t>
      </w:r>
      <w:bookmarkEnd w:id="3"/>
    </w:p>
    <w:p>
      <w:r>
        <w:t>La matriz relaciona los requisitos funcionales y no funcionales con los módulos responsables y su evidencia de aceptación.</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3408"/>
        <w:gridCol w:w="3408"/>
        <w:gridCol w:w="3408"/>
      </w:tblGrid>
      <w:tr>
        <w:trPr>
          <w:tblHeader/>
          <w:cantSplit/>
        </w:trPr>
        <w:tc>
          <w:tcPr>
            <w:tcW w:type="dxa" w:w="3408"/>
            <w:shd w:fill="991B1B"/>
            <w:tcMar>
              <w:top w:w="80" w:type="dxa"/>
              <w:bottom w:w="80" w:type="dxa"/>
            </w:tcMar>
          </w:tcPr>
          <w:p>
            <w:pPr>
              <w:spacing w:after="0" w:line="240" w:lineRule="auto"/>
            </w:pPr>
            <w:r>
              <w:rPr>
                <w:rFonts w:ascii="Arial" w:hAnsi="Arial"/>
                <w:b/>
                <w:color w:val="FFFFFF"/>
                <w:sz w:val="18"/>
              </w:rPr>
              <w:t>ID</w:t>
            </w:r>
          </w:p>
        </w:tc>
        <w:tc>
          <w:tcPr>
            <w:tcW w:type="dxa" w:w="3408"/>
            <w:shd w:fill="991B1B"/>
            <w:tcMar>
              <w:top w:w="80" w:type="dxa"/>
              <w:bottom w:w="80" w:type="dxa"/>
            </w:tcMar>
          </w:tcPr>
          <w:p>
            <w:pPr>
              <w:spacing w:after="0" w:line="240" w:lineRule="auto"/>
            </w:pPr>
            <w:r>
              <w:rPr>
                <w:rFonts w:ascii="Arial" w:hAnsi="Arial"/>
                <w:b/>
                <w:color w:val="FFFFFF"/>
                <w:sz w:val="18"/>
              </w:rPr>
              <w:t>Requisito comprometido</w:t>
            </w:r>
          </w:p>
        </w:tc>
        <w:tc>
          <w:tcPr>
            <w:tcW w:type="dxa" w:w="3408"/>
            <w:shd w:fill="991B1B"/>
            <w:tcMar>
              <w:top w:w="80" w:type="dxa"/>
              <w:bottom w:w="80" w:type="dxa"/>
            </w:tcMar>
          </w:tcPr>
          <w:p>
            <w:pPr>
              <w:spacing w:after="0" w:line="240" w:lineRule="auto"/>
            </w:pPr>
            <w:r>
              <w:rPr>
                <w:rFonts w:ascii="Arial" w:hAnsi="Arial"/>
                <w:b/>
                <w:color w:val="FFFFFF"/>
                <w:sz w:val="18"/>
              </w:rPr>
              <w:t>Implementación / evidencia</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RF-01</w:t>
            </w:r>
          </w:p>
        </w:tc>
        <w:tc>
          <w:tcPr>
            <w:tcW w:type="dxa" w:w="3408"/>
            <w:shd w:fill="FFFFFF"/>
            <w:tcMar>
              <w:top w:w="80" w:type="dxa"/>
              <w:bottom w:w="80" w:type="dxa"/>
            </w:tcMar>
          </w:tcPr>
          <w:p>
            <w:pPr>
              <w:spacing w:after="0" w:line="240" w:lineRule="auto"/>
            </w:pPr>
            <w:r>
              <w:rPr>
                <w:rFonts w:ascii="Arial" w:hAnsi="Arial"/>
                <w:b w:val="0"/>
                <w:color w:val="1F2933"/>
                <w:sz w:val="18"/>
              </w:rPr>
              <w:t>Identidad, sesión y administración</w:t>
            </w:r>
          </w:p>
        </w:tc>
        <w:tc>
          <w:tcPr>
            <w:tcW w:type="dxa" w:w="3408"/>
            <w:shd w:fill="FFFFFF"/>
            <w:tcMar>
              <w:top w:w="80" w:type="dxa"/>
              <w:bottom w:w="80" w:type="dxa"/>
            </w:tcMar>
          </w:tcPr>
          <w:p>
            <w:pPr>
              <w:spacing w:after="0" w:line="240" w:lineRule="auto"/>
            </w:pPr>
            <w:r>
              <w:rPr>
                <w:rFonts w:ascii="Arial" w:hAnsi="Arial"/>
                <w:b w:val="0"/>
                <w:i w:val="0"/>
                <w:color w:val="1F2933"/>
                <w:sz w:val="18"/>
              </w:rPr>
              <w:t>ms_identidad_acceso</w:t>
            </w:r>
            <w:r>
              <w:rPr>
                <w:rFonts w:ascii="Arial" w:hAnsi="Arial"/>
                <w:b w:val="0"/>
                <w:color w:val="1F2933"/>
                <w:sz w:val="18"/>
              </w:rPr>
              <w:t>; pruebas de seguridad y administración web</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RF-02</w:t>
            </w:r>
          </w:p>
        </w:tc>
        <w:tc>
          <w:tcPr>
            <w:tcW w:type="dxa" w:w="3408"/>
            <w:shd w:fill="FFFFFF"/>
            <w:tcMar>
              <w:top w:w="80" w:type="dxa"/>
              <w:bottom w:w="80" w:type="dxa"/>
            </w:tcMar>
          </w:tcPr>
          <w:p>
            <w:pPr>
              <w:spacing w:after="0" w:line="240" w:lineRule="auto"/>
            </w:pPr>
            <w:r>
              <w:rPr>
                <w:rFonts w:ascii="Arial" w:hAnsi="Arial"/>
                <w:b w:val="0"/>
                <w:color w:val="1F2933"/>
                <w:sz w:val="18"/>
              </w:rPr>
              <w:t>Donantes, campañas, citas y procesamiento</w:t>
            </w:r>
          </w:p>
        </w:tc>
        <w:tc>
          <w:tcPr>
            <w:tcW w:type="dxa" w:w="3408"/>
            <w:shd w:fill="FFFFFF"/>
            <w:tcMar>
              <w:top w:w="80" w:type="dxa"/>
              <w:bottom w:w="80" w:type="dxa"/>
            </w:tcMar>
          </w:tcPr>
          <w:p>
            <w:pPr>
              <w:spacing w:after="0" w:line="240" w:lineRule="auto"/>
            </w:pPr>
            <w:r>
              <w:rPr>
                <w:rFonts w:ascii="Arial" w:hAnsi="Arial"/>
                <w:b w:val="0"/>
                <w:i w:val="0"/>
                <w:color w:val="1F2933"/>
                <w:sz w:val="18"/>
              </w:rPr>
              <w:t>ms_donantes</w:t>
            </w:r>
            <w:r>
              <w:rPr>
                <w:rFonts w:ascii="Arial" w:hAnsi="Arial"/>
                <w:b w:val="0"/>
                <w:color w:val="1F2933"/>
                <w:sz w:val="18"/>
              </w:rPr>
              <w:t>; flujo de donación/procesamiento</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RF-03</w:t>
            </w:r>
          </w:p>
        </w:tc>
        <w:tc>
          <w:tcPr>
            <w:tcW w:type="dxa" w:w="3408"/>
            <w:shd w:fill="FFFFFF"/>
            <w:tcMar>
              <w:top w:w="80" w:type="dxa"/>
              <w:bottom w:w="80" w:type="dxa"/>
            </w:tcMar>
          </w:tcPr>
          <w:p>
            <w:pPr>
              <w:spacing w:after="0" w:line="240" w:lineRule="auto"/>
            </w:pPr>
            <w:r>
              <w:rPr>
                <w:rFonts w:ascii="Arial" w:hAnsi="Arial"/>
                <w:b w:val="0"/>
                <w:color w:val="1F2933"/>
                <w:sz w:val="18"/>
              </w:rPr>
              <w:t>Receptores y solicitudes</w:t>
            </w:r>
          </w:p>
        </w:tc>
        <w:tc>
          <w:tcPr>
            <w:tcW w:type="dxa" w:w="3408"/>
            <w:shd w:fill="FFFFFF"/>
            <w:tcMar>
              <w:top w:w="80" w:type="dxa"/>
              <w:bottom w:w="80" w:type="dxa"/>
            </w:tcMar>
          </w:tcPr>
          <w:p>
            <w:pPr>
              <w:spacing w:after="0" w:line="240" w:lineRule="auto"/>
            </w:pPr>
            <w:r>
              <w:rPr>
                <w:rFonts w:ascii="Arial" w:hAnsi="Arial"/>
                <w:b w:val="0"/>
                <w:i w:val="0"/>
                <w:color w:val="1F2933"/>
                <w:sz w:val="18"/>
              </w:rPr>
              <w:t>ms_receptores</w:t>
            </w:r>
            <w:r>
              <w:rPr>
                <w:rFonts w:ascii="Arial" w:hAnsi="Arial"/>
                <w:b w:val="0"/>
                <w:color w:val="1F2933"/>
                <w:sz w:val="18"/>
              </w:rPr>
              <w:t>; retenciones y cierre por recepción</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RF-04</w:t>
            </w:r>
          </w:p>
        </w:tc>
        <w:tc>
          <w:tcPr>
            <w:tcW w:type="dxa" w:w="3408"/>
            <w:shd w:fill="FFFFFF"/>
            <w:tcMar>
              <w:top w:w="80" w:type="dxa"/>
              <w:bottom w:w="80" w:type="dxa"/>
            </w:tcMar>
          </w:tcPr>
          <w:p>
            <w:pPr>
              <w:spacing w:after="0" w:line="240" w:lineRule="auto"/>
            </w:pPr>
            <w:r>
              <w:rPr>
                <w:rFonts w:ascii="Arial" w:hAnsi="Arial"/>
                <w:b w:val="0"/>
                <w:color w:val="1F2933"/>
                <w:sz w:val="18"/>
              </w:rPr>
              <w:t>Inventario, disponibilidad y reservas</w:t>
            </w:r>
          </w:p>
        </w:tc>
        <w:tc>
          <w:tcPr>
            <w:tcW w:type="dxa" w:w="3408"/>
            <w:shd w:fill="FFFFFF"/>
            <w:tcMar>
              <w:top w:w="80" w:type="dxa"/>
              <w:bottom w:w="80" w:type="dxa"/>
            </w:tcMar>
          </w:tcPr>
          <w:p>
            <w:pPr>
              <w:spacing w:after="0" w:line="240" w:lineRule="auto"/>
            </w:pPr>
            <w:r>
              <w:rPr>
                <w:rFonts w:ascii="Arial" w:hAnsi="Arial"/>
                <w:b w:val="0"/>
                <w:i w:val="0"/>
                <w:color w:val="1F2933"/>
                <w:sz w:val="18"/>
              </w:rPr>
              <w:t>ms_inventario</w:t>
            </w:r>
            <w:r>
              <w:rPr>
                <w:rFonts w:ascii="Arial" w:hAnsi="Arial"/>
                <w:b w:val="0"/>
                <w:color w:val="1F2933"/>
                <w:sz w:val="18"/>
              </w:rPr>
              <w:t>; concurrencia, idempotencia y recuperación</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RF-05</w:t>
            </w:r>
          </w:p>
        </w:tc>
        <w:tc>
          <w:tcPr>
            <w:tcW w:type="dxa" w:w="3408"/>
            <w:shd w:fill="FFFFFF"/>
            <w:tcMar>
              <w:top w:w="80" w:type="dxa"/>
              <w:bottom w:w="80" w:type="dxa"/>
            </w:tcMar>
          </w:tcPr>
          <w:p>
            <w:pPr>
              <w:spacing w:after="0" w:line="240" w:lineRule="auto"/>
            </w:pPr>
            <w:r>
              <w:rPr>
                <w:rFonts w:ascii="Arial" w:hAnsi="Arial"/>
                <w:b w:val="0"/>
                <w:color w:val="1F2933"/>
                <w:sz w:val="18"/>
              </w:rPr>
              <w:t>Evaluación y dictamen humano</w:t>
            </w:r>
          </w:p>
        </w:tc>
        <w:tc>
          <w:tcPr>
            <w:tcW w:type="dxa" w:w="3408"/>
            <w:shd w:fill="FFFFFF"/>
            <w:tcMar>
              <w:top w:w="80" w:type="dxa"/>
              <w:bottom w:w="80" w:type="dxa"/>
            </w:tcMar>
          </w:tcPr>
          <w:p>
            <w:pPr>
              <w:spacing w:after="0" w:line="240" w:lineRule="auto"/>
            </w:pPr>
            <w:r>
              <w:rPr>
                <w:rFonts w:ascii="Arial" w:hAnsi="Arial"/>
                <w:b w:val="0"/>
                <w:i w:val="0"/>
                <w:color w:val="1F2933"/>
                <w:sz w:val="18"/>
              </w:rPr>
              <w:t>ms_compatibilidad</w:t>
            </w:r>
            <w:r>
              <w:rPr>
                <w:rFonts w:ascii="Arial" w:hAnsi="Arial"/>
                <w:b w:val="0"/>
                <w:color w:val="1F2933"/>
                <w:sz w:val="18"/>
              </w:rPr>
              <w:t>; entradas y versiones conservadas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RF-06</w:t>
            </w:r>
          </w:p>
        </w:tc>
        <w:tc>
          <w:tcPr>
            <w:tcW w:type="dxa" w:w="3408"/>
            <w:shd w:fill="FFFFFF"/>
            <w:tcMar>
              <w:top w:w="80" w:type="dxa"/>
              <w:bottom w:w="80" w:type="dxa"/>
            </w:tcMar>
          </w:tcPr>
          <w:p>
            <w:pPr>
              <w:spacing w:after="0" w:line="240" w:lineRule="auto"/>
            </w:pPr>
            <w:r>
              <w:rPr>
                <w:rFonts w:ascii="Arial" w:hAnsi="Arial"/>
                <w:b w:val="0"/>
                <w:color w:val="1F2933"/>
                <w:sz w:val="18"/>
              </w:rPr>
              <w:t>Rutas, ranking y propuesta</w:t>
            </w:r>
          </w:p>
        </w:tc>
        <w:tc>
          <w:tcPr>
            <w:tcW w:type="dxa" w:w="3408"/>
            <w:shd w:fill="FFFFFF"/>
            <w:tcMar>
              <w:top w:w="80" w:type="dxa"/>
              <w:bottom w:w="80" w:type="dxa"/>
            </w:tcMar>
          </w:tcPr>
          <w:p>
            <w:pPr>
              <w:spacing w:after="0" w:line="240" w:lineRule="auto"/>
            </w:pPr>
            <w:r>
              <w:rPr>
                <w:rFonts w:ascii="Arial" w:hAnsi="Arial"/>
                <w:b w:val="0"/>
                <w:i w:val="0"/>
                <w:color w:val="1F2933"/>
                <w:sz w:val="18"/>
              </w:rPr>
              <w:t>ms_priorizacion_geografia</w:t>
            </w:r>
            <w:r>
              <w:rPr>
                <w:rFonts w:ascii="Arial" w:hAnsi="Arial"/>
                <w:b w:val="0"/>
                <w:color w:val="1F2933"/>
                <w:sz w:val="18"/>
              </w:rPr>
              <w:t>; pruebas de matching y límites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RF-07</w:t>
            </w:r>
          </w:p>
        </w:tc>
        <w:tc>
          <w:tcPr>
            <w:tcW w:type="dxa" w:w="3408"/>
            <w:shd w:fill="FFFFFF"/>
            <w:tcMar>
              <w:top w:w="80" w:type="dxa"/>
              <w:bottom w:w="80" w:type="dxa"/>
            </w:tcMar>
          </w:tcPr>
          <w:p>
            <w:pPr>
              <w:spacing w:after="0" w:line="240" w:lineRule="auto"/>
            </w:pPr>
            <w:r>
              <w:rPr>
                <w:rFonts w:ascii="Arial" w:hAnsi="Arial"/>
                <w:b w:val="0"/>
                <w:color w:val="1F2933"/>
                <w:sz w:val="18"/>
              </w:rPr>
              <w:t>Traslado, ubicación y recepción</w:t>
            </w:r>
          </w:p>
        </w:tc>
        <w:tc>
          <w:tcPr>
            <w:tcW w:type="dxa" w:w="3408"/>
            <w:shd w:fill="FFFFFF"/>
            <w:tcMar>
              <w:top w:w="80" w:type="dxa"/>
              <w:bottom w:w="80" w:type="dxa"/>
            </w:tcMar>
          </w:tcPr>
          <w:p>
            <w:pPr>
              <w:spacing w:after="0" w:line="240" w:lineRule="auto"/>
            </w:pPr>
            <w:r>
              <w:rPr>
                <w:rFonts w:ascii="Arial" w:hAnsi="Arial"/>
                <w:b w:val="0"/>
                <w:i w:val="0"/>
                <w:color w:val="1F2933"/>
                <w:sz w:val="18"/>
              </w:rPr>
              <w:t>ms_transporte</w:t>
            </w:r>
            <w:r>
              <w:rPr>
                <w:rFonts w:ascii="Arial" w:hAnsi="Arial"/>
                <w:b w:val="0"/>
                <w:color w:val="1F2933"/>
                <w:sz w:val="18"/>
              </w:rPr>
              <w:t>; flujo integrado y autorización por responsable</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RF-08</w:t>
            </w:r>
          </w:p>
        </w:tc>
        <w:tc>
          <w:tcPr>
            <w:tcW w:type="dxa" w:w="3408"/>
            <w:shd w:fill="FFFFFF"/>
            <w:tcMar>
              <w:top w:w="80" w:type="dxa"/>
              <w:bottom w:w="80" w:type="dxa"/>
            </w:tcMar>
          </w:tcPr>
          <w:p>
            <w:pPr>
              <w:spacing w:after="0" w:line="240" w:lineRule="auto"/>
            </w:pPr>
            <w:r>
              <w:rPr>
                <w:rFonts w:ascii="Arial" w:hAnsi="Arial"/>
                <w:b w:val="0"/>
                <w:color w:val="1F2933"/>
                <w:sz w:val="18"/>
              </w:rPr>
              <w:t>Cadena de custodia</w:t>
            </w:r>
          </w:p>
        </w:tc>
        <w:tc>
          <w:tcPr>
            <w:tcW w:type="dxa" w:w="3408"/>
            <w:shd w:fill="FFFFFF"/>
            <w:tcMar>
              <w:top w:w="80" w:type="dxa"/>
              <w:bottom w:w="80" w:type="dxa"/>
            </w:tcMar>
          </w:tcPr>
          <w:p>
            <w:pPr>
              <w:spacing w:after="0" w:line="240" w:lineRule="auto"/>
            </w:pPr>
            <w:r>
              <w:rPr>
                <w:rFonts w:ascii="Arial" w:hAnsi="Arial"/>
                <w:b w:val="0"/>
                <w:i w:val="0"/>
                <w:color w:val="1F2933"/>
                <w:sz w:val="18"/>
              </w:rPr>
              <w:t>ms_custodia</w:t>
            </w:r>
            <w:r>
              <w:rPr>
                <w:rFonts w:ascii="Arial" w:hAnsi="Arial"/>
                <w:b w:val="0"/>
                <w:color w:val="1F2933"/>
                <w:sz w:val="18"/>
              </w:rPr>
              <w:t>; orden, deduplicación y verificación de hashes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RF-09</w:t>
            </w:r>
          </w:p>
        </w:tc>
        <w:tc>
          <w:tcPr>
            <w:tcW w:type="dxa" w:w="3408"/>
            <w:shd w:fill="FFFFFF"/>
            <w:tcMar>
              <w:top w:w="80" w:type="dxa"/>
              <w:bottom w:w="80" w:type="dxa"/>
            </w:tcMar>
          </w:tcPr>
          <w:p>
            <w:pPr>
              <w:spacing w:after="0" w:line="240" w:lineRule="auto"/>
            </w:pPr>
            <w:r>
              <w:rPr>
                <w:rFonts w:ascii="Arial" w:hAnsi="Arial"/>
                <w:b w:val="0"/>
                <w:color w:val="1F2933"/>
                <w:sz w:val="18"/>
              </w:rPr>
              <w:t>Avisos y auditoría</w:t>
            </w:r>
          </w:p>
        </w:tc>
        <w:tc>
          <w:tcPr>
            <w:tcW w:type="dxa" w:w="3408"/>
            <w:shd w:fill="FFFFFF"/>
            <w:tcMar>
              <w:top w:w="80" w:type="dxa"/>
              <w:bottom w:w="80" w:type="dxa"/>
            </w:tcMar>
          </w:tcPr>
          <w:p>
            <w:pPr>
              <w:spacing w:after="0" w:line="240" w:lineRule="auto"/>
            </w:pPr>
            <w:r>
              <w:rPr>
                <w:rFonts w:ascii="Arial" w:hAnsi="Arial"/>
                <w:b w:val="0"/>
                <w:i w:val="0"/>
                <w:color w:val="1F2933"/>
                <w:sz w:val="18"/>
              </w:rPr>
              <w:t>ms_alertas</w:t>
            </w:r>
            <w:r>
              <w:rPr>
                <w:rFonts w:ascii="Arial" w:hAnsi="Arial"/>
                <w:b w:val="0"/>
                <w:color w:val="1F2933"/>
                <w:sz w:val="18"/>
              </w:rPr>
              <w:t xml:space="preserve">, </w:t>
            </w:r>
            <w:r>
              <w:rPr>
                <w:rFonts w:ascii="Arial" w:hAnsi="Arial"/>
                <w:b w:val="0"/>
                <w:i w:val="0"/>
                <w:color w:val="1F2933"/>
                <w:sz w:val="18"/>
              </w:rPr>
              <w:t>ms_auditoria</w:t>
            </w:r>
            <w:r>
              <w:rPr>
                <w:rFonts w:ascii="Arial" w:hAnsi="Arial"/>
                <w:b w:val="0"/>
                <w:color w:val="1F2933"/>
                <w:sz w:val="18"/>
              </w:rPr>
              <w:t>; outbox, inbox y consulta autorizada</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RF-10</w:t>
            </w:r>
          </w:p>
        </w:tc>
        <w:tc>
          <w:tcPr>
            <w:tcW w:type="dxa" w:w="3408"/>
            <w:shd w:fill="FFFFFF"/>
            <w:tcMar>
              <w:top w:w="80" w:type="dxa"/>
              <w:bottom w:w="80" w:type="dxa"/>
            </w:tcMar>
          </w:tcPr>
          <w:p>
            <w:pPr>
              <w:spacing w:after="0" w:line="240" w:lineRule="auto"/>
            </w:pPr>
            <w:r>
              <w:rPr>
                <w:rFonts w:ascii="Arial" w:hAnsi="Arial"/>
                <w:b w:val="0"/>
                <w:color w:val="1F2933"/>
                <w:sz w:val="18"/>
              </w:rPr>
              <w:t>Monitoreo y degradación</w:t>
            </w:r>
          </w:p>
        </w:tc>
        <w:tc>
          <w:tcPr>
            <w:tcW w:type="dxa" w:w="3408"/>
            <w:shd w:fill="FFFFFF"/>
            <w:tcMar>
              <w:top w:w="80" w:type="dxa"/>
              <w:bottom w:w="80" w:type="dxa"/>
            </w:tcMar>
          </w:tcPr>
          <w:p>
            <w:pPr>
              <w:spacing w:after="0" w:line="240" w:lineRule="auto"/>
            </w:pPr>
            <w:r>
              <w:rPr>
                <w:rFonts w:ascii="Arial" w:hAnsi="Arial"/>
                <w:b w:val="0"/>
                <w:i w:val="0"/>
                <w:color w:val="1F2933"/>
                <w:sz w:val="18"/>
              </w:rPr>
              <w:t>servicio_monitoreo</w:t>
            </w:r>
            <w:r>
              <w:rPr>
                <w:rFonts w:ascii="Arial" w:hAnsi="Arial"/>
                <w:b w:val="0"/>
                <w:color w:val="1F2933"/>
                <w:sz w:val="18"/>
              </w:rPr>
              <w:t>; sondeos y pipelines documentales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RF-11</w:t>
            </w:r>
          </w:p>
        </w:tc>
        <w:tc>
          <w:tcPr>
            <w:tcW w:type="dxa" w:w="3408"/>
            <w:shd w:fill="FFFFFF"/>
            <w:tcMar>
              <w:top w:w="80" w:type="dxa"/>
              <w:bottom w:w="80" w:type="dxa"/>
            </w:tcMar>
          </w:tcPr>
          <w:p>
            <w:pPr>
              <w:spacing w:after="0" w:line="240" w:lineRule="auto"/>
            </w:pPr>
            <w:r>
              <w:rPr>
                <w:rFonts w:ascii="Arial" w:hAnsi="Arial"/>
                <w:b w:val="0"/>
                <w:color w:val="1F2933"/>
                <w:sz w:val="18"/>
              </w:rPr>
              <w:t>Archivos privados</w:t>
            </w:r>
          </w:p>
        </w:tc>
        <w:tc>
          <w:tcPr>
            <w:tcW w:type="dxa" w:w="3408"/>
            <w:shd w:fill="FFFFFF"/>
            <w:tcMar>
              <w:top w:w="80" w:type="dxa"/>
              <w:bottom w:w="80" w:type="dxa"/>
            </w:tcMar>
          </w:tcPr>
          <w:p>
            <w:pPr>
              <w:spacing w:after="0" w:line="240" w:lineRule="auto"/>
            </w:pPr>
            <w:r>
              <w:rPr>
                <w:rFonts w:ascii="Arial" w:hAnsi="Arial"/>
                <w:b w:val="0"/>
                <w:color w:val="1F2933"/>
                <w:sz w:val="18"/>
              </w:rPr>
              <w:t>Transporte, formulario web y GCS; pruebas de archivos reales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RNF-01</w:t>
            </w:r>
          </w:p>
        </w:tc>
        <w:tc>
          <w:tcPr>
            <w:tcW w:type="dxa" w:w="3408"/>
            <w:shd w:fill="FFFFFF"/>
            <w:tcMar>
              <w:top w:w="80" w:type="dxa"/>
              <w:bottom w:w="80" w:type="dxa"/>
            </w:tcMar>
          </w:tcPr>
          <w:p>
            <w:pPr>
              <w:spacing w:after="0" w:line="240" w:lineRule="auto"/>
            </w:pPr>
            <w:r>
              <w:rPr>
                <w:rFonts w:ascii="Arial" w:hAnsi="Arial"/>
                <w:b w:val="0"/>
                <w:color w:val="1F2933"/>
                <w:sz w:val="18"/>
              </w:rPr>
              <w:t>Autorización uniforme</w:t>
            </w:r>
          </w:p>
        </w:tc>
        <w:tc>
          <w:tcPr>
            <w:tcW w:type="dxa" w:w="3408"/>
            <w:shd w:fill="FFFFFF"/>
            <w:tcMar>
              <w:top w:w="80" w:type="dxa"/>
              <w:bottom w:w="80" w:type="dxa"/>
            </w:tcMar>
          </w:tcPr>
          <w:p>
            <w:pPr>
              <w:spacing w:after="0" w:line="240" w:lineRule="auto"/>
            </w:pPr>
            <w:r>
              <w:rPr>
                <w:rFonts w:ascii="Arial" w:hAnsi="Arial"/>
                <w:b w:val="0"/>
                <w:color w:val="1F2933"/>
                <w:sz w:val="18"/>
              </w:rPr>
              <w:t>RS256, Redis, permisos por rol/institución/recurso</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RNF-02</w:t>
            </w:r>
          </w:p>
        </w:tc>
        <w:tc>
          <w:tcPr>
            <w:tcW w:type="dxa" w:w="3408"/>
            <w:shd w:fill="FFFFFF"/>
            <w:tcMar>
              <w:top w:w="80" w:type="dxa"/>
              <w:bottom w:w="80" w:type="dxa"/>
            </w:tcMar>
          </w:tcPr>
          <w:p>
            <w:pPr>
              <w:spacing w:after="0" w:line="240" w:lineRule="auto"/>
            </w:pPr>
            <w:r>
              <w:rPr>
                <w:rFonts w:ascii="Arial" w:hAnsi="Arial"/>
                <w:b w:val="0"/>
                <w:color w:val="1F2933"/>
                <w:sz w:val="18"/>
              </w:rPr>
              <w:t>Continuidad</w:t>
            </w:r>
          </w:p>
        </w:tc>
        <w:tc>
          <w:tcPr>
            <w:tcW w:type="dxa" w:w="3408"/>
            <w:shd w:fill="FFFFFF"/>
            <w:tcMar>
              <w:top w:w="80" w:type="dxa"/>
              <w:bottom w:w="80" w:type="dxa"/>
            </w:tcMar>
          </w:tcPr>
          <w:p>
            <w:pPr>
              <w:spacing w:after="0" w:line="240" w:lineRule="auto"/>
            </w:pPr>
            <w:r>
              <w:rPr>
                <w:rFonts w:ascii="Arial" w:hAnsi="Arial"/>
                <w:b w:val="0"/>
                <w:color w:val="1F2933"/>
                <w:sz w:val="18"/>
              </w:rPr>
              <w:t>Backend propio web, dos instancias por API, workers idempotentes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RNF-03</w:t>
            </w:r>
          </w:p>
        </w:tc>
        <w:tc>
          <w:tcPr>
            <w:tcW w:type="dxa" w:w="3408"/>
            <w:shd w:fill="FFFFFF"/>
            <w:tcMar>
              <w:top w:w="80" w:type="dxa"/>
              <w:bottom w:w="80" w:type="dxa"/>
            </w:tcMar>
          </w:tcPr>
          <w:p>
            <w:pPr>
              <w:spacing w:after="0" w:line="240" w:lineRule="auto"/>
            </w:pPr>
            <w:r>
              <w:rPr>
                <w:rFonts w:ascii="Arial" w:hAnsi="Arial"/>
                <w:b w:val="0"/>
                <w:color w:val="1F2933"/>
                <w:sz w:val="18"/>
              </w:rPr>
              <w:t>Contratos interoperables</w:t>
            </w:r>
          </w:p>
        </w:tc>
        <w:tc>
          <w:tcPr>
            <w:tcW w:type="dxa" w:w="3408"/>
            <w:shd w:fill="FFFFFF"/>
            <w:tcMar>
              <w:top w:w="80" w:type="dxa"/>
              <w:bottom w:w="80" w:type="dxa"/>
            </w:tcMar>
          </w:tcPr>
          <w:p>
            <w:pPr>
              <w:spacing w:after="0" w:line="240" w:lineRule="auto"/>
            </w:pPr>
            <w:r>
              <w:rPr>
                <w:rFonts w:ascii="Arial" w:hAnsi="Arial"/>
                <w:b w:val="0"/>
                <w:color w:val="1F2933"/>
                <w:sz w:val="18"/>
              </w:rPr>
              <w:t>OpenAPI, DTO JSON, XML/XSD, errores uniformes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RNF-04</w:t>
            </w:r>
          </w:p>
        </w:tc>
        <w:tc>
          <w:tcPr>
            <w:tcW w:type="dxa" w:w="3408"/>
            <w:shd w:fill="FFFFFF"/>
            <w:tcMar>
              <w:top w:w="80" w:type="dxa"/>
              <w:bottom w:w="80" w:type="dxa"/>
            </w:tcMar>
          </w:tcPr>
          <w:p>
            <w:pPr>
              <w:spacing w:after="0" w:line="240" w:lineRule="auto"/>
            </w:pPr>
            <w:r>
              <w:rPr>
                <w:rFonts w:ascii="Arial" w:hAnsi="Arial"/>
                <w:b w:val="0"/>
                <w:color w:val="1F2933"/>
                <w:sz w:val="18"/>
              </w:rPr>
              <w:t>Reproducibilidad</w:t>
            </w:r>
          </w:p>
        </w:tc>
        <w:tc>
          <w:tcPr>
            <w:tcW w:type="dxa" w:w="3408"/>
            <w:shd w:fill="FFFFFF"/>
            <w:tcMar>
              <w:top w:w="80" w:type="dxa"/>
              <w:bottom w:w="80" w:type="dxa"/>
            </w:tcMar>
          </w:tcPr>
          <w:p>
            <w:pPr>
              <w:spacing w:after="0" w:line="240" w:lineRule="auto"/>
            </w:pPr>
            <w:r>
              <w:rPr>
                <w:rFonts w:ascii="Arial" w:hAnsi="Arial"/>
                <w:b w:val="0"/>
                <w:i w:val="0"/>
                <w:color w:val="1F2933"/>
                <w:sz w:val="18"/>
              </w:rPr>
              <w:t>deployment/README.md</w:t>
            </w:r>
            <w:r>
              <w:rPr>
                <w:rFonts w:ascii="Arial" w:hAnsi="Arial"/>
                <w:b w:val="0"/>
                <w:color w:val="1F2933"/>
                <w:sz w:val="18"/>
              </w:rPr>
              <w:t>, Compose y secretos generados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RNF-05</w:t>
            </w:r>
          </w:p>
        </w:tc>
        <w:tc>
          <w:tcPr>
            <w:tcW w:type="dxa" w:w="3408"/>
            <w:shd w:fill="FFFFFF"/>
            <w:tcMar>
              <w:top w:w="80" w:type="dxa"/>
              <w:bottom w:w="80" w:type="dxa"/>
            </w:tcMar>
          </w:tcPr>
          <w:p>
            <w:pPr>
              <w:spacing w:after="0" w:line="240" w:lineRule="auto"/>
            </w:pPr>
            <w:r>
              <w:rPr>
                <w:rFonts w:ascii="Arial" w:hAnsi="Arial"/>
                <w:b w:val="0"/>
                <w:color w:val="1F2933"/>
                <w:sz w:val="18"/>
              </w:rPr>
              <w:t>Recuperación y trazabilidad</w:t>
            </w:r>
          </w:p>
        </w:tc>
        <w:tc>
          <w:tcPr>
            <w:tcW w:type="dxa" w:w="3408"/>
            <w:shd w:fill="FFFFFF"/>
            <w:tcMar>
              <w:top w:w="80" w:type="dxa"/>
              <w:bottom w:w="80" w:type="dxa"/>
            </w:tcMar>
          </w:tcPr>
          <w:p>
            <w:pPr>
              <w:spacing w:after="0" w:line="240" w:lineRule="auto"/>
            </w:pPr>
            <w:r>
              <w:rPr>
                <w:rFonts w:ascii="Arial" w:hAnsi="Arial"/>
                <w:b w:val="0"/>
                <w:color w:val="1F2933"/>
                <w:sz w:val="18"/>
              </w:rPr>
              <w:t>Operaciones persistentes, correlación, auditoría y pruebas de fallos</w:t>
            </w:r>
          </w:p>
        </w:tc>
      </w:tr>
    </w:tbl>
    <w:p/>
    <w:p>
      <w:r>
        <w:t xml:space="preserve">La </w:t>
      </w:r>
      <w:r>
        <w:rPr>
          <w:b w:val="0"/>
          <w:i w:val="0"/>
        </w:rPr>
        <w:t>matriz de cierre</w:t>
      </w:r>
      <w:r>
        <w:t xml:space="preserve"> determina qué criterios tienen evidencia final y cuáles conservan limitaciones. Los resultados se interpretan según el alcance de cada validación.</w:t>
      </w:r>
    </w:p>
    <w:p>
      <w:pPr>
        <w:pStyle w:val="Heading1"/>
      </w:pPr>
      <w:bookmarkStart w:id="4" w:name="report_section_4"/>
      <w:r>
        <w:t>4. Arquitectura y continuidad</w:t>
      </w:r>
      <w:bookmarkEnd w:id="4"/>
    </w:p>
    <w:p>
      <w:r>
        <w:drawing>
          <wp:inline xmlns:a="http://schemas.openxmlformats.org/drawingml/2006/main" xmlns:pic="http://schemas.openxmlformats.org/drawingml/2006/picture">
            <wp:extent cx="6126480" cy="6072873"/>
            <wp:docPr id="1" name="Picture 1"/>
            <wp:cNvGraphicFramePr>
              <a:graphicFrameLocks noChangeAspect="1"/>
            </wp:cNvGraphicFramePr>
            <a:graphic>
              <a:graphicData uri="http://schemas.openxmlformats.org/drawingml/2006/picture">
                <pic:pic>
                  <pic:nvPicPr>
                    <pic:cNvPr id="0" name="componentes.png"/>
                    <pic:cNvPicPr/>
                  </pic:nvPicPr>
                  <pic:blipFill>
                    <a:blip r:embed="rId10"/>
                    <a:stretch>
                      <a:fillRect/>
                    </a:stretch>
                  </pic:blipFill>
                  <pic:spPr>
                    <a:xfrm>
                      <a:off x="0" y="0"/>
                      <a:ext cx="6126480" cy="6072873"/>
                    </a:xfrm>
                    <a:prstGeom prst="rect"/>
                  </pic:spPr>
                </pic:pic>
              </a:graphicData>
            </a:graphic>
          </wp:inline>
        </w:drawing>
      </w:r>
    </w:p>
    <w:p>
      <w:pPr>
        <w:pStyle w:val="Caption"/>
      </w:pPr>
      <w:r>
        <w:t>Componentes actuales</w:t>
      </w:r>
    </w:p>
    <w:p>
      <w:r>
        <w:t xml:space="preserve">El navegador consume HTML y formularios del portal. El módulo de integración traduce cada operación a un contrato de aplicación. En modo </w:t>
      </w:r>
      <w:r>
        <w:rPr>
          <w:b w:val="0"/>
          <w:i w:val="0"/>
        </w:rPr>
        <w:t>monolith</w:t>
      </w:r>
      <w:r>
        <w:t xml:space="preserve">, </w:t>
      </w:r>
      <w:r>
        <w:rPr>
          <w:b w:val="0"/>
          <w:i w:val="0"/>
        </w:rPr>
        <w:t>ApplicationKernel</w:t>
      </w:r>
      <w:r>
        <w:t xml:space="preserve"> ejecuta los módulos Flask mediante WSGI dentro del proceso, sin abrir listeners internos. El mismo controlador valida entradas, JWT, permisos Redis, reglas y transacciones. Las llamadas internas conservan firma de servicio y delegación del usuario. El modo HTTP se conserva como configuración explícita para pruebas e integración; no es un fallback automático.</w:t>
      </w:r>
    </w:p>
    <w:p>
      <w:r>
        <w:t>Cada módulo accede a PostgreSQL con su propia credencial limitada. El portal es una aplicación backend autorizada, no un cliente móvil con acceso directo a bases. Los microservicios no dependen de las vistas, plantillas ni sesiones privadas del portal. Las imágenes de dominio contienen únicamente su módulo y la biblioteca común; cada imagen puede actualizarse de forma individual.</w:t>
      </w:r>
    </w:p>
    <w:p>
      <w:r>
        <w:t>La reutilización se fija mediante versión 0.3.0 y hashes de fuente en la evidencia. Una actualización de una API no modifica el código ya cargado en el portal. La compatibilidad de contratos y migraciones se debe conservar durante el despliegue gradual.</w:t>
      </w:r>
    </w:p>
    <w:p>
      <w:r>
        <w:drawing>
          <wp:inline xmlns:a="http://schemas.openxmlformats.org/drawingml/2006/main" xmlns:pic="http://schemas.openxmlformats.org/drawingml/2006/picture">
            <wp:extent cx="6126480" cy="2148097"/>
            <wp:docPr id="2" name="Picture 2"/>
            <wp:cNvGraphicFramePr>
              <a:graphicFrameLocks noChangeAspect="1"/>
            </wp:cNvGraphicFramePr>
            <a:graphic>
              <a:graphicData uri="http://schemas.openxmlformats.org/drawingml/2006/picture">
                <pic:pic>
                  <pic:nvPicPr>
                    <pic:cNvPr id="0" name="despliegue.png"/>
                    <pic:cNvPicPr/>
                  </pic:nvPicPr>
                  <pic:blipFill>
                    <a:blip r:embed="rId11"/>
                    <a:stretch>
                      <a:fillRect/>
                    </a:stretch>
                  </pic:blipFill>
                  <pic:spPr>
                    <a:xfrm>
                      <a:off x="0" y="0"/>
                      <a:ext cx="6126480" cy="2148097"/>
                    </a:xfrm>
                    <a:prstGeom prst="rect"/>
                  </pic:spPr>
                </pic:pic>
              </a:graphicData>
            </a:graphic>
          </wp:inline>
        </w:drawing>
      </w:r>
    </w:p>
    <w:p>
      <w:pPr>
        <w:pStyle w:val="Caption"/>
      </w:pPr>
      <w:r>
        <w:t>Despliegue y redes</w:t>
      </w:r>
    </w:p>
    <w:p>
      <w:r>
        <w:t xml:space="preserve">Nginx descubre dos destinos por servicio mediante DNS Docker (Docker, s. f.). Hay redundancia para Identidad y los otros diez propietarios. Cada instancia supervisa su API y su worker. La web ejecuta sus propios workers de todos los dominios. Los workers comparten colas SQL con bloqueo </w:t>
      </w:r>
      <w:r>
        <w:rPr>
          <w:b w:val="0"/>
          <w:i w:val="0"/>
        </w:rPr>
        <w:t>FOR UPDATE SKIP LOCKED</w:t>
      </w:r>
      <w:r>
        <w:t>; los consumidores deduplican eventos. La proyección MongoDB también admite duplicados y orden de entrega diferente.</w:t>
      </w:r>
    </w:p>
    <w:p>
      <w:r>
        <w:t xml:space="preserve">El gateway reintenta conexiones fallidas sin habilitar </w:t>
      </w:r>
      <w:r>
        <w:rPr>
          <w:b w:val="0"/>
          <w:i w:val="0"/>
        </w:rPr>
        <w:t>non_idempotent</w:t>
      </w:r>
      <w:r>
        <w:t xml:space="preserve"> (NGINX, s. f.). Una respuesta perdida después de enviar una escritura tiene resultado incierto. El cliente conserva </w:t>
      </w:r>
      <w:r>
        <w:rPr>
          <w:b w:val="0"/>
          <w:i w:val="0"/>
        </w:rPr>
        <w:t>Idempotency-Key</w:t>
      </w:r>
      <w:r>
        <w:t>, consulta la operación y repite con la misma clave solo según su contrato. No cambia a otro backend después de escribir. Reservas y retenciones tienen identidad persistente y recuperación explícita.</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2556"/>
        <w:gridCol w:w="2556"/>
        <w:gridCol w:w="2556"/>
        <w:gridCol w:w="2556"/>
      </w:tblGrid>
      <w:tr>
        <w:trPr>
          <w:tblHeader/>
          <w:cantSplit/>
        </w:trPr>
        <w:tc>
          <w:tcPr>
            <w:tcW w:type="dxa" w:w="2556"/>
            <w:shd w:fill="991B1B"/>
            <w:tcMar>
              <w:top w:w="80" w:type="dxa"/>
              <w:bottom w:w="80" w:type="dxa"/>
            </w:tcMar>
          </w:tcPr>
          <w:p>
            <w:pPr>
              <w:spacing w:after="0" w:line="240" w:lineRule="auto"/>
            </w:pPr>
            <w:r>
              <w:rPr>
                <w:rFonts w:ascii="Arial" w:hAnsi="Arial"/>
                <w:b/>
                <w:color w:val="FFFFFF"/>
                <w:sz w:val="18"/>
              </w:rPr>
              <w:t>Fallo</w:t>
            </w:r>
          </w:p>
        </w:tc>
        <w:tc>
          <w:tcPr>
            <w:tcW w:type="dxa" w:w="2556"/>
            <w:shd w:fill="991B1B"/>
            <w:tcMar>
              <w:top w:w="80" w:type="dxa"/>
              <w:bottom w:w="80" w:type="dxa"/>
            </w:tcMar>
          </w:tcPr>
          <w:p>
            <w:pPr>
              <w:spacing w:after="0" w:line="240" w:lineRule="auto"/>
            </w:pPr>
            <w:r>
              <w:rPr>
                <w:rFonts w:ascii="Arial" w:hAnsi="Arial"/>
                <w:b/>
                <w:color w:val="FFFFFF"/>
                <w:sz w:val="18"/>
              </w:rPr>
              <w:t>Portal modular</w:t>
            </w:r>
          </w:p>
        </w:tc>
        <w:tc>
          <w:tcPr>
            <w:tcW w:type="dxa" w:w="2556"/>
            <w:shd w:fill="991B1B"/>
            <w:tcMar>
              <w:top w:w="80" w:type="dxa"/>
              <w:bottom w:w="80" w:type="dxa"/>
            </w:tcMar>
          </w:tcPr>
          <w:p>
            <w:pPr>
              <w:spacing w:after="0" w:line="240" w:lineRule="auto"/>
            </w:pPr>
            <w:r>
              <w:rPr>
                <w:rFonts w:ascii="Arial" w:hAnsi="Arial"/>
                <w:b/>
                <w:color w:val="FFFFFF"/>
                <w:sz w:val="18"/>
              </w:rPr>
              <w:t>Clientes API</w:t>
            </w:r>
          </w:p>
        </w:tc>
        <w:tc>
          <w:tcPr>
            <w:tcW w:type="dxa" w:w="2556"/>
            <w:shd w:fill="991B1B"/>
            <w:tcMar>
              <w:top w:w="80" w:type="dxa"/>
              <w:bottom w:w="80" w:type="dxa"/>
            </w:tcMar>
          </w:tcPr>
          <w:p>
            <w:pPr>
              <w:spacing w:after="0" w:line="240" w:lineRule="auto"/>
            </w:pPr>
            <w:r>
              <w:rPr>
                <w:rFonts w:ascii="Arial" w:hAnsi="Arial"/>
                <w:b/>
                <w:color w:val="FFFFFF"/>
                <w:sz w:val="18"/>
              </w:rPr>
              <w:t>Recuperación</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Una API o su worker</w:t>
            </w:r>
          </w:p>
        </w:tc>
        <w:tc>
          <w:tcPr>
            <w:tcW w:type="dxa" w:w="2556"/>
            <w:shd w:fill="FFFFFF"/>
            <w:tcMar>
              <w:top w:w="80" w:type="dxa"/>
              <w:bottom w:w="80" w:type="dxa"/>
            </w:tcMar>
          </w:tcPr>
          <w:p>
            <w:pPr>
              <w:spacing w:after="0" w:line="240" w:lineRule="auto"/>
            </w:pPr>
            <w:r>
              <w:rPr>
                <w:rFonts w:ascii="Arial" w:hAnsi="Arial"/>
                <w:b w:val="0"/>
                <w:color w:val="1F2933"/>
                <w:sz w:val="18"/>
              </w:rPr>
              <w:t>Opera con backend y workers propios</w:t>
            </w:r>
          </w:p>
        </w:tc>
        <w:tc>
          <w:tcPr>
            <w:tcW w:type="dxa" w:w="2556"/>
            <w:shd w:fill="FFFFFF"/>
            <w:tcMar>
              <w:top w:w="80" w:type="dxa"/>
              <w:bottom w:w="80" w:type="dxa"/>
            </w:tcMar>
          </w:tcPr>
          <w:p>
            <w:pPr>
              <w:spacing w:after="0" w:line="240" w:lineRule="auto"/>
            </w:pPr>
            <w:r>
              <w:rPr>
                <w:rFonts w:ascii="Arial" w:hAnsi="Arial"/>
                <w:b w:val="0"/>
                <w:color w:val="1F2933"/>
                <w:sz w:val="18"/>
              </w:rPr>
              <w:t>Instancia restante atiende el flujo</w:t>
            </w:r>
          </w:p>
        </w:tc>
        <w:tc>
          <w:tcPr>
            <w:tcW w:type="dxa" w:w="2556"/>
            <w:shd w:fill="FFFFFF"/>
            <w:tcMar>
              <w:top w:w="80" w:type="dxa"/>
              <w:bottom w:w="80" w:type="dxa"/>
            </w:tcMar>
          </w:tcPr>
          <w:p>
            <w:pPr>
              <w:spacing w:after="0" w:line="240" w:lineRule="auto"/>
            </w:pPr>
            <w:r>
              <w:rPr>
                <w:rFonts w:ascii="Arial" w:hAnsi="Arial"/>
                <w:b w:val="0"/>
                <w:color w:val="1F2933"/>
                <w:sz w:val="18"/>
              </w:rPr>
              <w:t>Reinicio supervisado y DNS</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Todas las API de un servicio</w:t>
            </w:r>
          </w:p>
        </w:tc>
        <w:tc>
          <w:tcPr>
            <w:tcW w:type="dxa" w:w="2556"/>
            <w:shd w:fill="FFFFFF"/>
            <w:tcMar>
              <w:top w:w="80" w:type="dxa"/>
              <w:bottom w:w="80" w:type="dxa"/>
            </w:tcMar>
          </w:tcPr>
          <w:p>
            <w:pPr>
              <w:spacing w:after="0" w:line="240" w:lineRule="auto"/>
            </w:pPr>
            <w:r>
              <w:rPr>
                <w:rFonts w:ascii="Arial" w:hAnsi="Arial"/>
                <w:b w:val="0"/>
                <w:color w:val="1F2933"/>
                <w:sz w:val="18"/>
              </w:rPr>
              <w:t>Opera si sus dependencias de datos siguen disponibles</w:t>
            </w:r>
          </w:p>
        </w:tc>
        <w:tc>
          <w:tcPr>
            <w:tcW w:type="dxa" w:w="2556"/>
            <w:shd w:fill="FFFFFF"/>
            <w:tcMar>
              <w:top w:w="80" w:type="dxa"/>
              <w:bottom w:w="80" w:type="dxa"/>
            </w:tcMar>
          </w:tcPr>
          <w:p>
            <w:pPr>
              <w:spacing w:after="0" w:line="240" w:lineRule="auto"/>
            </w:pPr>
            <w:r>
              <w:rPr>
                <w:rFonts w:ascii="Arial" w:hAnsi="Arial"/>
                <w:b w:val="0"/>
                <w:color w:val="1F2933"/>
                <w:sz w:val="18"/>
              </w:rPr>
              <w:t>Fallan operaciones que requieren ese propietario</w:t>
            </w:r>
          </w:p>
        </w:tc>
        <w:tc>
          <w:tcPr>
            <w:tcW w:type="dxa" w:w="2556"/>
            <w:shd w:fill="FFFFFF"/>
            <w:tcMar>
              <w:top w:w="80" w:type="dxa"/>
              <w:bottom w:w="80" w:type="dxa"/>
            </w:tcMar>
          </w:tcPr>
          <w:p>
            <w:pPr>
              <w:spacing w:after="0" w:line="240" w:lineRule="auto"/>
            </w:pPr>
            <w:r>
              <w:rPr>
                <w:rFonts w:ascii="Arial" w:hAnsi="Arial"/>
                <w:b w:val="0"/>
                <w:color w:val="1F2933"/>
                <w:sz w:val="18"/>
              </w:rPr>
              <w:t>Restablecer instancia; consultar estado antes de repetir</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Redis</w:t>
            </w:r>
          </w:p>
        </w:tc>
        <w:tc>
          <w:tcPr>
            <w:tcW w:type="dxa" w:w="2556"/>
            <w:shd w:fill="FFFFFF"/>
            <w:tcMar>
              <w:top w:w="80" w:type="dxa"/>
              <w:bottom w:w="80" w:type="dxa"/>
            </w:tcMar>
          </w:tcPr>
          <w:p>
            <w:pPr>
              <w:spacing w:after="0" w:line="240" w:lineRule="auto"/>
            </w:pPr>
            <w:r>
              <w:rPr>
                <w:rFonts w:ascii="Arial" w:hAnsi="Arial"/>
                <w:b w:val="0"/>
                <w:color w:val="1F2933"/>
                <w:sz w:val="18"/>
              </w:rPr>
              <w:t>Rechazo de operaciones protegidas</w:t>
            </w:r>
          </w:p>
        </w:tc>
        <w:tc>
          <w:tcPr>
            <w:tcW w:type="dxa" w:w="2556"/>
            <w:shd w:fill="FFFFFF"/>
            <w:tcMar>
              <w:top w:w="80" w:type="dxa"/>
              <w:bottom w:w="80" w:type="dxa"/>
            </w:tcMar>
          </w:tcPr>
          <w:p>
            <w:pPr>
              <w:spacing w:after="0" w:line="240" w:lineRule="auto"/>
            </w:pPr>
            <w:r>
              <w:rPr>
                <w:rFonts w:ascii="Arial" w:hAnsi="Arial"/>
                <w:b w:val="0"/>
                <w:color w:val="1F2933"/>
                <w:sz w:val="18"/>
              </w:rPr>
              <w:t>Igual</w:t>
            </w:r>
          </w:p>
        </w:tc>
        <w:tc>
          <w:tcPr>
            <w:tcW w:type="dxa" w:w="2556"/>
            <w:shd w:fill="FFFFFF"/>
            <w:tcMar>
              <w:top w:w="80" w:type="dxa"/>
              <w:bottom w:w="80" w:type="dxa"/>
            </w:tcMar>
          </w:tcPr>
          <w:p>
            <w:pPr>
              <w:spacing w:after="0" w:line="240" w:lineRule="auto"/>
            </w:pPr>
            <w:r>
              <w:rPr>
                <w:rFonts w:ascii="Arial" w:hAnsi="Arial"/>
                <w:b w:val="0"/>
                <w:color w:val="1F2933"/>
                <w:sz w:val="18"/>
              </w:rPr>
              <w:t>Restablecer Redis y verificar sesión; no omitir seguridad</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PostgreSQL</w:t>
            </w:r>
          </w:p>
        </w:tc>
        <w:tc>
          <w:tcPr>
            <w:tcW w:type="dxa" w:w="2556"/>
            <w:shd w:fill="FFFFFF"/>
            <w:tcMar>
              <w:top w:w="80" w:type="dxa"/>
              <w:bottom w:w="80" w:type="dxa"/>
            </w:tcMar>
          </w:tcPr>
          <w:p>
            <w:pPr>
              <w:spacing w:after="0" w:line="240" w:lineRule="auto"/>
            </w:pPr>
            <w:r>
              <w:rPr>
                <w:rFonts w:ascii="Arial" w:hAnsi="Arial"/>
                <w:b w:val="0"/>
                <w:color w:val="1F2933"/>
                <w:sz w:val="18"/>
              </w:rPr>
              <w:t>Operaciones transaccionales indisponibles</w:t>
            </w:r>
          </w:p>
        </w:tc>
        <w:tc>
          <w:tcPr>
            <w:tcW w:type="dxa" w:w="2556"/>
            <w:shd w:fill="FFFFFF"/>
            <w:tcMar>
              <w:top w:w="80" w:type="dxa"/>
              <w:bottom w:w="80" w:type="dxa"/>
            </w:tcMar>
          </w:tcPr>
          <w:p>
            <w:pPr>
              <w:spacing w:after="0" w:line="240" w:lineRule="auto"/>
            </w:pPr>
            <w:r>
              <w:rPr>
                <w:rFonts w:ascii="Arial" w:hAnsi="Arial"/>
                <w:b w:val="0"/>
                <w:color w:val="1F2933"/>
                <w:sz w:val="18"/>
              </w:rPr>
              <w:t>Igual</w:t>
            </w:r>
          </w:p>
        </w:tc>
        <w:tc>
          <w:tcPr>
            <w:tcW w:type="dxa" w:w="2556"/>
            <w:shd w:fill="FFFFFF"/>
            <w:tcMar>
              <w:top w:w="80" w:type="dxa"/>
              <w:bottom w:w="80" w:type="dxa"/>
            </w:tcMar>
          </w:tcPr>
          <w:p>
            <w:pPr>
              <w:spacing w:after="0" w:line="240" w:lineRule="auto"/>
            </w:pPr>
            <w:r>
              <w:rPr>
                <w:rFonts w:ascii="Arial" w:hAnsi="Arial"/>
                <w:b w:val="0"/>
                <w:color w:val="1F2933"/>
                <w:sz w:val="18"/>
              </w:rPr>
              <w:t>Restablecer base y recuperar coordinaciones pendientes</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MongoDB</w:t>
            </w:r>
          </w:p>
        </w:tc>
        <w:tc>
          <w:tcPr>
            <w:tcW w:type="dxa" w:w="2556"/>
            <w:shd w:fill="FFFFFF"/>
            <w:tcMar>
              <w:top w:w="80" w:type="dxa"/>
              <w:bottom w:w="80" w:type="dxa"/>
            </w:tcMar>
          </w:tcPr>
          <w:p>
            <w:pPr>
              <w:spacing w:after="0" w:line="240" w:lineRule="auto"/>
            </w:pPr>
            <w:r>
              <w:rPr>
                <w:rFonts w:ascii="Arial" w:hAnsi="Arial"/>
                <w:b w:val="0"/>
                <w:color w:val="1F2933"/>
                <w:sz w:val="18"/>
              </w:rPr>
              <w:t>Outbox SQL conserva eventos; consulta documental degradada</w:t>
            </w:r>
          </w:p>
        </w:tc>
        <w:tc>
          <w:tcPr>
            <w:tcW w:type="dxa" w:w="2556"/>
            <w:shd w:fill="FFFFFF"/>
            <w:tcMar>
              <w:top w:w="80" w:type="dxa"/>
              <w:bottom w:w="80" w:type="dxa"/>
            </w:tcMar>
          </w:tcPr>
          <w:p>
            <w:pPr>
              <w:spacing w:after="0" w:line="240" w:lineRule="auto"/>
            </w:pPr>
            <w:r>
              <w:rPr>
                <w:rFonts w:ascii="Arial" w:hAnsi="Arial"/>
                <w:b w:val="0"/>
                <w:color w:val="1F2933"/>
                <w:sz w:val="18"/>
              </w:rPr>
              <w:t>Igual</w:t>
            </w:r>
          </w:p>
        </w:tc>
        <w:tc>
          <w:tcPr>
            <w:tcW w:type="dxa" w:w="2556"/>
            <w:shd w:fill="FFFFFF"/>
            <w:tcMar>
              <w:top w:w="80" w:type="dxa"/>
              <w:bottom w:w="80" w:type="dxa"/>
            </w:tcMar>
          </w:tcPr>
          <w:p>
            <w:pPr>
              <w:spacing w:after="0" w:line="240" w:lineRule="auto"/>
            </w:pPr>
            <w:r>
              <w:rPr>
                <w:rFonts w:ascii="Arial" w:hAnsi="Arial"/>
                <w:b w:val="0"/>
                <w:color w:val="1F2933"/>
                <w:sz w:val="18"/>
              </w:rPr>
              <w:t>Reintento idempotente y reconstrucción de proyección</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GCS</w:t>
            </w:r>
          </w:p>
        </w:tc>
        <w:tc>
          <w:tcPr>
            <w:tcW w:type="dxa" w:w="2556"/>
            <w:shd w:fill="FFFFFF"/>
            <w:tcMar>
              <w:top w:w="80" w:type="dxa"/>
              <w:bottom w:w="80" w:type="dxa"/>
            </w:tcMar>
          </w:tcPr>
          <w:p>
            <w:pPr>
              <w:spacing w:after="0" w:line="240" w:lineRule="auto"/>
            </w:pPr>
            <w:r>
              <w:rPr>
                <w:rFonts w:ascii="Arial" w:hAnsi="Arial"/>
                <w:b w:val="0"/>
                <w:color w:val="1F2933"/>
                <w:sz w:val="18"/>
              </w:rPr>
              <w:t>Funciones sin archivo disponibles; evidencia pendiente/error</w:t>
            </w:r>
          </w:p>
        </w:tc>
        <w:tc>
          <w:tcPr>
            <w:tcW w:type="dxa" w:w="2556"/>
            <w:shd w:fill="FFFFFF"/>
            <w:tcMar>
              <w:top w:w="80" w:type="dxa"/>
              <w:bottom w:w="80" w:type="dxa"/>
            </w:tcMar>
          </w:tcPr>
          <w:p>
            <w:pPr>
              <w:spacing w:after="0" w:line="240" w:lineRule="auto"/>
            </w:pPr>
            <w:r>
              <w:rPr>
                <w:rFonts w:ascii="Arial" w:hAnsi="Arial"/>
                <w:b w:val="0"/>
                <w:color w:val="1F2933"/>
                <w:sz w:val="18"/>
              </w:rPr>
              <w:t>Igual</w:t>
            </w:r>
          </w:p>
        </w:tc>
        <w:tc>
          <w:tcPr>
            <w:tcW w:type="dxa" w:w="2556"/>
            <w:shd w:fill="FFFFFF"/>
            <w:tcMar>
              <w:top w:w="80" w:type="dxa"/>
              <w:bottom w:w="80" w:type="dxa"/>
            </w:tcMar>
          </w:tcPr>
          <w:p>
            <w:pPr>
              <w:spacing w:after="0" w:line="240" w:lineRule="auto"/>
            </w:pPr>
            <w:r>
              <w:rPr>
                <w:rFonts w:ascii="Arial" w:hAnsi="Arial"/>
                <w:b w:val="0"/>
                <w:color w:val="1F2933"/>
                <w:sz w:val="18"/>
              </w:rPr>
              <w:t>Consultar estado y verificar objeto existente</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Gateway</w:t>
            </w:r>
          </w:p>
        </w:tc>
        <w:tc>
          <w:tcPr>
            <w:tcW w:type="dxa" w:w="2556"/>
            <w:shd w:fill="FFFFFF"/>
            <w:tcMar>
              <w:top w:w="80" w:type="dxa"/>
              <w:bottom w:w="80" w:type="dxa"/>
            </w:tcMar>
          </w:tcPr>
          <w:p>
            <w:pPr>
              <w:spacing w:after="0" w:line="240" w:lineRule="auto"/>
            </w:pPr>
            <w:r>
              <w:rPr>
                <w:rFonts w:ascii="Arial" w:hAnsi="Arial"/>
                <w:b w:val="0"/>
                <w:color w:val="1F2933"/>
                <w:sz w:val="18"/>
              </w:rPr>
              <w:t>Portal modular continúa</w:t>
            </w:r>
          </w:p>
        </w:tc>
        <w:tc>
          <w:tcPr>
            <w:tcW w:type="dxa" w:w="2556"/>
            <w:shd w:fill="FFFFFF"/>
            <w:tcMar>
              <w:top w:w="80" w:type="dxa"/>
              <w:bottom w:w="80" w:type="dxa"/>
            </w:tcMar>
          </w:tcPr>
          <w:p>
            <w:pPr>
              <w:spacing w:after="0" w:line="240" w:lineRule="auto"/>
            </w:pPr>
            <w:r>
              <w:rPr>
                <w:rFonts w:ascii="Arial" w:hAnsi="Arial"/>
                <w:b w:val="0"/>
                <w:color w:val="1F2933"/>
                <w:sz w:val="18"/>
              </w:rPr>
              <w:t>API externa indisponible</w:t>
            </w:r>
          </w:p>
        </w:tc>
        <w:tc>
          <w:tcPr>
            <w:tcW w:type="dxa" w:w="2556"/>
            <w:shd w:fill="FFFFFF"/>
            <w:tcMar>
              <w:top w:w="80" w:type="dxa"/>
              <w:bottom w:w="80" w:type="dxa"/>
            </w:tcMar>
          </w:tcPr>
          <w:p>
            <w:pPr>
              <w:spacing w:after="0" w:line="240" w:lineRule="auto"/>
            </w:pPr>
            <w:r>
              <w:rPr>
                <w:rFonts w:ascii="Arial" w:hAnsi="Arial"/>
                <w:b w:val="0"/>
                <w:color w:val="1F2933"/>
                <w:sz w:val="18"/>
              </w:rPr>
              <w:t>Restaurar gateway; no hay réplica de gateway en este alcance</w:t>
            </w:r>
          </w:p>
        </w:tc>
      </w:tr>
      <w:tr>
        <w:trPr>
          <w:cantSplit/>
        </w:trPr>
        <w:tc>
          <w:tcPr>
            <w:tcW w:type="dxa" w:w="2556"/>
            <w:shd w:fill="FFFFFF"/>
            <w:tcMar>
              <w:top w:w="80" w:type="dxa"/>
              <w:bottom w:w="80" w:type="dxa"/>
            </w:tcMar>
          </w:tcPr>
          <w:p>
            <w:pPr>
              <w:spacing w:after="0" w:line="240" w:lineRule="auto"/>
            </w:pPr>
            <w:r>
              <w:rPr>
                <w:rFonts w:ascii="Arial" w:hAnsi="Arial"/>
                <w:b w:val="0"/>
                <w:color w:val="1F2933"/>
                <w:sz w:val="18"/>
              </w:rPr>
              <w:t>Host Docker</w:t>
            </w:r>
          </w:p>
        </w:tc>
        <w:tc>
          <w:tcPr>
            <w:tcW w:type="dxa" w:w="2556"/>
            <w:shd w:fill="FFFFFF"/>
            <w:tcMar>
              <w:top w:w="80" w:type="dxa"/>
              <w:bottom w:w="80" w:type="dxa"/>
            </w:tcMar>
          </w:tcPr>
          <w:p>
            <w:pPr>
              <w:spacing w:after="0" w:line="240" w:lineRule="auto"/>
            </w:pPr>
            <w:r>
              <w:rPr>
                <w:rFonts w:ascii="Arial" w:hAnsi="Arial"/>
                <w:b w:val="0"/>
                <w:color w:val="1F2933"/>
                <w:sz w:val="18"/>
              </w:rPr>
              <w:t>Entorno indisponible</w:t>
            </w:r>
          </w:p>
        </w:tc>
        <w:tc>
          <w:tcPr>
            <w:tcW w:type="dxa" w:w="2556"/>
            <w:shd w:fill="FFFFFF"/>
            <w:tcMar>
              <w:top w:w="80" w:type="dxa"/>
              <w:bottom w:w="80" w:type="dxa"/>
            </w:tcMar>
          </w:tcPr>
          <w:p>
            <w:pPr>
              <w:spacing w:after="0" w:line="240" w:lineRule="auto"/>
            </w:pPr>
            <w:r>
              <w:rPr>
                <w:rFonts w:ascii="Arial" w:hAnsi="Arial"/>
                <w:b w:val="0"/>
                <w:color w:val="1F2933"/>
                <w:sz w:val="18"/>
              </w:rPr>
              <w:t>Entorno indisponible</w:t>
            </w:r>
          </w:p>
        </w:tc>
        <w:tc>
          <w:tcPr>
            <w:tcW w:type="dxa" w:w="2556"/>
            <w:shd w:fill="FFFFFF"/>
            <w:tcMar>
              <w:top w:w="80" w:type="dxa"/>
              <w:bottom w:w="80" w:type="dxa"/>
            </w:tcMar>
          </w:tcPr>
          <w:p>
            <w:pPr>
              <w:spacing w:after="0" w:line="240" w:lineRule="auto"/>
            </w:pPr>
            <w:r>
              <w:rPr>
                <w:rFonts w:ascii="Arial" w:hAnsi="Arial"/>
                <w:b w:val="0"/>
                <w:color w:val="1F2933"/>
                <w:sz w:val="18"/>
              </w:rPr>
              <w:t>Restaurar host, volúmenes y secretos</w:t>
            </w:r>
          </w:p>
        </w:tc>
      </w:tr>
    </w:tbl>
    <w:p/>
    <w:p>
      <w:r>
        <w:t>Dos contenedores en un host no equivalen a alta disponibilidad multizona. PostgreSQL, Redis, MongoDB, gateway y el host siguen siendo puntos únicos de infraestructura. Los resultados de disponibilidad se limitan al fallo de instancia comprobado.</w:t>
      </w:r>
    </w:p>
    <w:p>
      <w:pPr>
        <w:pStyle w:val="Heading1"/>
      </w:pPr>
      <w:bookmarkStart w:id="5" w:name="report_section_5"/>
      <w:r>
        <w:t>5. Procesos integrados</w:t>
      </w:r>
      <w:bookmarkEnd w:id="5"/>
    </w:p>
    <w:p>
      <w:r>
        <w:drawing>
          <wp:inline xmlns:a="http://schemas.openxmlformats.org/drawingml/2006/main" xmlns:pic="http://schemas.openxmlformats.org/drawingml/2006/picture">
            <wp:extent cx="6126480" cy="3300641"/>
            <wp:docPr id="3" name="Picture 3"/>
            <wp:cNvGraphicFramePr>
              <a:graphicFrameLocks noChangeAspect="1"/>
            </wp:cNvGraphicFramePr>
            <a:graphic>
              <a:graphicData uri="http://schemas.openxmlformats.org/drawingml/2006/picture">
                <pic:pic>
                  <pic:nvPicPr>
                    <pic:cNvPr id="0" name="secuencia.png"/>
                    <pic:cNvPicPr/>
                  </pic:nvPicPr>
                  <pic:blipFill>
                    <a:blip r:embed="rId12"/>
                    <a:stretch>
                      <a:fillRect/>
                    </a:stretch>
                  </pic:blipFill>
                  <pic:spPr>
                    <a:xfrm>
                      <a:off x="0" y="0"/>
                      <a:ext cx="6126480" cy="3300641"/>
                    </a:xfrm>
                    <a:prstGeom prst="rect"/>
                  </pic:spPr>
                </pic:pic>
              </a:graphicData>
            </a:graphic>
          </wp:inline>
        </w:drawing>
      </w:r>
    </w:p>
    <w:p>
      <w:pPr>
        <w:pStyle w:val="Caption"/>
      </w:pPr>
      <w:r>
        <w:t>Secuencia de reserva y traslado</w:t>
      </w:r>
    </w:p>
    <w:p>
      <w:pPr>
        <w:pStyle w:val="Heading2"/>
      </w:pPr>
      <w:r>
        <w:t>Sangre y órganos</w:t>
      </w:r>
    </w:p>
    <w:p>
      <w:r>
        <w:t>El origen registra un recurso y un médico lo libera con confirmación y motivo. El destino registra receptor y solicitud. Compatibilidad conserva la evaluación, candidatos, exclusiones, ruta y versiones de reglas. El médico dicta favorable o desfavorable para cada candidato. Priorización presenta un orden operativo explicable; la propuesta no reserva automáticamente.</w:t>
      </w:r>
    </w:p>
    <w:p>
      <w:r>
        <w:t>Inventario crea una operación, solicita retención de capacidad a Receptores y bloquea el recurso. Las claves e índices impiden reservar dos veces el mismo recurso o cubrir en exceso una solicitud. Una confirmación pendiente se recupera; no se interpreta un timeout como ausencia de efecto.</w:t>
      </w:r>
    </w:p>
    <w:p>
      <w:r>
        <w:t>Coordinación planea el traslado con ruta y responsable. Origen prepara, transportista recoge, transporta y entrega, y destino acepta. Cada paso exige estado y versión compatibles, perfil autorizado y confirmación humana. La recepción actualiza inventario y cobertura de solicitud mediante eventos durables. Custodia conserva secuencia y hashes; Alertas y Auditoría reciben el mismo contexto de correlación minimizado.</w:t>
      </w:r>
    </w:p>
    <w:p>
      <w:r>
        <w:t xml:space="preserve">Para sangre RBC se conserva la regla documentada </w:t>
      </w:r>
      <w:r>
        <w:rPr>
          <w:b w:val="0"/>
          <w:i w:val="0"/>
        </w:rPr>
        <w:t>RBC-1.0</w:t>
      </w:r>
      <w:r>
        <w:t xml:space="preserve">. Para órganos, </w:t>
      </w:r>
      <w:r>
        <w:rPr>
          <w:b w:val="0"/>
          <w:i w:val="0"/>
        </w:rPr>
        <w:t>ORGAN-1.0</w:t>
      </w:r>
      <w:r>
        <w:t xml:space="preserve"> es una preselección académica por tipo y ABO idéntico, sin interpretación HLA. Los tres tipos de órgano existentes conservan pruebas separadas. No se infieren equivalencias entre sus ciclos clínicos.</w:t>
      </w:r>
    </w:p>
    <w:p>
      <w:pPr>
        <w:pStyle w:val="Heading2"/>
      </w:pPr>
      <w:r>
        <w:t>Donación y procesamiento</w:t>
      </w:r>
    </w:p>
    <w:p>
      <w:r>
        <w:t>Se registra el donante con consentimiento. Un médico documenta elegibilidad humana. La campaña define capacidad; la cita se registra transaccionalmente y no puede excederla. La donación conserva tipo, componente, fecha y confirmación. El operador registra procesamiento. Un recurso de inventario puede vincular su origen a esa donación, conservando trazabilidad; la aceptación de un formulario no certifica aptitud clínica.</w:t>
      </w:r>
    </w:p>
    <w:p>
      <w:pPr>
        <w:pStyle w:val="Heading2"/>
      </w:pPr>
      <w:r>
        <w:t>Archivos de un traslado</w:t>
      </w:r>
    </w:p>
    <w:p>
      <w:r>
        <w:drawing>
          <wp:inline xmlns:a="http://schemas.openxmlformats.org/drawingml/2006/main" xmlns:pic="http://schemas.openxmlformats.org/drawingml/2006/picture">
            <wp:extent cx="6126480" cy="4031990"/>
            <wp:docPr id="4" name="Picture 4"/>
            <wp:cNvGraphicFramePr>
              <a:graphicFrameLocks noChangeAspect="1"/>
            </wp:cNvGraphicFramePr>
            <a:graphic>
              <a:graphicData uri="http://schemas.openxmlformats.org/drawingml/2006/picture">
                <pic:pic>
                  <pic:nvPicPr>
                    <pic:cNvPr id="0" name="archivos.png"/>
                    <pic:cNvPicPr/>
                  </pic:nvPicPr>
                  <pic:blipFill>
                    <a:blip r:embed="rId13"/>
                    <a:stretch>
                      <a:fillRect/>
                    </a:stretch>
                  </pic:blipFill>
                  <pic:spPr>
                    <a:xfrm>
                      <a:off x="0" y="0"/>
                      <a:ext cx="6126480" cy="4031990"/>
                    </a:xfrm>
                    <a:prstGeom prst="rect"/>
                  </pic:spPr>
                </pic:pic>
              </a:graphicData>
            </a:graphic>
          </wp:inline>
        </w:drawing>
      </w:r>
    </w:p>
    <w:p>
      <w:pPr>
        <w:pStyle w:val="Caption"/>
      </w:pPr>
      <w:r>
        <w:t>Carga privada de evidencia</w:t>
      </w:r>
    </w:p>
    <w:p>
      <w:r>
        <w:t xml:space="preserve">El usuario autorizado selecciona PNG, JPEG o PDF de hasta 10 MiB. El portal calcula hash y prepara el registro en Transporte. El backend autoriza la asociación con el traslado, persiste la referencia y firma una carga de creación exclusiva. El encabezado firmado </w:t>
      </w:r>
      <w:r>
        <w:rPr>
          <w:b w:val="0"/>
          <w:i w:val="0"/>
        </w:rPr>
        <w:t>x-goog-if-generation-match: 0</w:t>
      </w:r>
      <w:r>
        <w:t xml:space="preserve"> evita sobrescribir un objeto existente.</w:t>
      </w:r>
    </w:p>
    <w:p>
      <w:r>
        <w:t>Después de cargar, el servicio consulta metadatos y descarga la generación exacta para comprobar tamaño, SHA-256, tipo y estructura. Se limitan dimensiones de imágenes y páginas de PDF; se rechazan PDFs cifrados y mecanismos activos detectados. Esta validación estructural no sustituye un antivirus ni una política clínica de retención.</w:t>
      </w:r>
    </w:p>
    <w:p>
      <w:r>
        <w:t>Los estados distinguen registro preparado, verificado, rechazado, ausente y error. Una descarga requiere autorización por recurso y estado verificado; se entrega una URL firmada temporal ligada a la generación (Google Cloud, 2026c). El bucket bloquea acceso público y no almacena datos reales de pacientes en estas pruebas.</w:t>
      </w:r>
    </w:p>
    <w:p>
      <w:pPr>
        <w:pStyle w:val="Heading1"/>
      </w:pPr>
      <w:bookmarkStart w:id="6" w:name="report_section_6"/>
      <w:r>
        <w:t>6. Persistencia y modelo físico</w:t>
      </w:r>
      <w:bookmarkEnd w:id="6"/>
    </w:p>
    <w:p>
      <w:r>
        <w:drawing>
          <wp:inline xmlns:a="http://schemas.openxmlformats.org/drawingml/2006/main" xmlns:pic="http://schemas.openxmlformats.org/drawingml/2006/picture">
            <wp:extent cx="3246120" cy="7315200"/>
            <wp:docPr id="5" name="Picture 5"/>
            <wp:cNvGraphicFramePr>
              <a:graphicFrameLocks noChangeAspect="1"/>
            </wp:cNvGraphicFramePr>
            <a:graphic>
              <a:graphicData uri="http://schemas.openxmlformats.org/drawingml/2006/picture">
                <pic:pic>
                  <pic:nvPicPr>
                    <pic:cNvPr id="0" name="datos.png"/>
                    <pic:cNvPicPr/>
                  </pic:nvPicPr>
                  <pic:blipFill>
                    <a:blip r:embed="rId14"/>
                    <a:stretch>
                      <a:fillRect/>
                    </a:stretch>
                  </pic:blipFill>
                  <pic:spPr>
                    <a:xfrm>
                      <a:off x="0" y="0"/>
                      <a:ext cx="3246120" cy="7315200"/>
                    </a:xfrm>
                    <a:prstGeom prst="rect"/>
                  </pic:spPr>
                </pic:pic>
              </a:graphicData>
            </a:graphic>
          </wp:inline>
        </w:drawing>
      </w:r>
    </w:p>
    <w:p>
      <w:pPr>
        <w:pStyle w:val="Caption"/>
      </w:pPr>
      <w:r>
        <w:t>Relaciones operativas</w:t>
      </w:r>
    </w:p>
    <w:p>
      <w:pPr>
        <w:pStyle w:val="Heading2"/>
      </w:pPr>
      <w:r>
        <w:t>PostgreSQL</w:t>
      </w:r>
    </w:p>
    <w:p>
      <w:r>
        <w:t xml:space="preserve">El modelo documentado de la edición 0.3.0 comprende 71 tablas físicas en el esquema del dominio y una tabla técnica del portal en </w:t>
      </w:r>
      <w:r>
        <w:rPr>
          <w:b w:val="0"/>
          <w:i w:val="0"/>
        </w:rPr>
        <w:t>web_runtime</w:t>
      </w:r>
      <w:r>
        <w:t xml:space="preserve">, 72 en total. Su estructura se describe en </w:t>
      </w:r>
      <w:r>
        <w:rPr>
          <w:b w:val="0"/>
          <w:i w:val="0"/>
        </w:rPr>
        <w:t>Esquema compartido</w:t>
      </w:r>
      <w:r>
        <w:t xml:space="preserve">. Las vistas </w:t>
      </w:r>
      <w:r>
        <w:rPr>
          <w:b w:val="0"/>
          <w:i w:val="0"/>
        </w:rPr>
        <w:t>access_&lt;servicio&gt;</w:t>
      </w:r>
      <w:r>
        <w:t xml:space="preserve"> adaptan los nombres del contrato sin duplicar registros. Cada credencial de ejecución dispone de permisos únicamente sobre su ámbito. El propietario estructural no inicia sesión. Los usuarios de aplicación no reciben acceso administrativo a las tablas físicas.</w:t>
      </w:r>
    </w:p>
    <w:p>
      <w:r>
        <w:t xml:space="preserve">El </w:t>
      </w:r>
      <w:r>
        <w:rPr>
          <w:b w:val="0"/>
          <w:i w:val="0"/>
        </w:rPr>
        <w:t>catálogo físico completo</w:t>
      </w:r>
      <w:r>
        <w:t xml:space="preserve"> se genera desde </w:t>
      </w:r>
      <w:r>
        <w:rPr>
          <w:b w:val="0"/>
          <w:i w:val="0"/>
        </w:rPr>
        <w:t>pg_catalog</w:t>
      </w:r>
      <w:r>
        <w:t xml:space="preserve"> e </w:t>
      </w:r>
      <w:r>
        <w:rPr>
          <w:b w:val="0"/>
          <w:i w:val="0"/>
        </w:rPr>
        <w:t>information_schema</w:t>
      </w:r>
      <w:r>
        <w:t>: columnas, tipos, obligatoriedad, valores predeterminados, claves, restricciones e índices. Distingue las tablas utilizadas por las API de las tablas que no participan en sus operaciones. El archivo JSON de metadatos permite contrastar el catálogo con la base instalada.</w:t>
      </w:r>
    </w:p>
    <w:p>
      <w:r>
        <w:t xml:space="preserve">Las tablas </w:t>
      </w:r>
      <w:r>
        <w:rPr>
          <w:b w:val="0"/>
          <w:i w:val="0"/>
        </w:rPr>
        <w:t>service_*</w:t>
      </w:r>
      <w:r>
        <w:t xml:space="preserve"> incluyen propietario en su clave. Las vistas de outbox, inbox, decisiones, idempotencia, actividad y latido filtran ese propietario. Las funciones privilegiadas usan objetos calificados y </w:t>
      </w:r>
      <w:r>
        <w:rPr>
          <w:b w:val="0"/>
          <w:i w:val="0"/>
        </w:rPr>
        <w:t>search_path</w:t>
      </w:r>
      <w:r>
        <w:t xml:space="preserve"> restringido. Los historiales mantienen prohibición de actualización/eliminación para las credenciales de ejecución.</w:t>
      </w:r>
    </w:p>
    <w:p>
      <w:r>
        <w:t>El SQL de instalación se aplica explícitamente a una base vacía. Arrancar una API no destruye ni reconstruye tablas. Las migraciones requieren respaldo y comprobación de integridad. Los ensayos destructivos utilizan entornos aislados.</w:t>
      </w:r>
    </w:p>
    <w:p>
      <w:pPr>
        <w:pStyle w:val="Heading2"/>
      </w:pPr>
      <w:r>
        <w:t>MongoDB</w:t>
      </w:r>
    </w:p>
    <w:p>
      <w:r>
        <w:t>Transporte, Custodia, Auditoría y Monitoreo tienen bases documentales y credenciales propias. Los eventos se insertan por identificador estable. La entrega mediante outbox admite reintentos; una repetición con contenido distinto se rechaza. Los eventos de auditoría y custodia permanecen inmutables.</w:t>
      </w:r>
    </w:p>
    <w:p>
      <w:r>
        <w:rPr>
          <w:b w:val="0"/>
          <w:i w:val="0"/>
        </w:rPr>
        <w:t>rh_transporte.shipment_tracking</w:t>
      </w:r>
      <w:r>
        <w:t xml:space="preserve"> es una proyección mutable propiedad de Transporte. Su </w:t>
      </w:r>
      <w:r>
        <w:rPr>
          <w:b w:val="0"/>
          <w:i w:val="0"/>
        </w:rPr>
        <w:t>_id</w:t>
      </w:r>
      <w:r>
        <w:t xml:space="preserve"> es el identificador del traslado PostgreSQL. Conserva </w:t>
      </w:r>
      <w:r>
        <w:rPr>
          <w:b w:val="0"/>
          <w:i w:val="0"/>
        </w:rPr>
        <w:t>schema_version</w:t>
      </w:r>
      <w:r>
        <w:t xml:space="preserve">, versión de secuencia, región, instituciones, transportista, reserva, último estado observado e identificador/fecha del evento. El evento de mayor secuencia reemplaza la proyección; uno anterior no la degrada. Una colisión de igual versión con distinto evento es conflicto. El campo </w:t>
      </w:r>
      <w:r>
        <w:rPr>
          <w:b w:val="0"/>
          <w:i w:val="0"/>
        </w:rPr>
        <w:t>last_state</w:t>
      </w:r>
      <w:r>
        <w:t xml:space="preserve"> describe el último evento y no pretende sustituir la autoridad transaccional.</w:t>
      </w:r>
    </w:p>
    <w:p>
      <w:r>
        <w:t xml:space="preserve">La migración documental crea índices </w:t>
      </w:r>
      <w:r>
        <w:rPr>
          <w:b w:val="0"/>
          <w:i w:val="0"/>
        </w:rPr>
        <w:t>regional_state</w:t>
      </w:r>
      <w:r>
        <w:t xml:space="preserve"> y </w:t>
      </w:r>
      <w:r>
        <w:rPr>
          <w:b w:val="0"/>
          <w:i w:val="0"/>
        </w:rPr>
        <w:t>shipment_sequence</w:t>
      </w:r>
      <w:r>
        <w:t xml:space="preserve">. Las credenciales pueden actualizar la proyección, pero no los eventos. La reconstrucción recorre los eventos existentes sin editarlos. Las pruebas verifican inserción, consulta, actualización, filtro, pipeline, repetición, desorden, reconstrucción, permisos y un plan </w:t>
      </w:r>
      <w:r>
        <w:rPr>
          <w:b w:val="0"/>
          <w:i w:val="0"/>
        </w:rPr>
        <w:t>explain</w:t>
      </w:r>
      <w:r>
        <w:t xml:space="preserve"> que utiliza el índice regional.</w:t>
      </w:r>
    </w:p>
    <w:p>
      <w:r>
        <w:t>Monitoreo conserva sondeos con fuente, fecha, estado, tiempo, versión, dependencia y error. Sus pipelines calculan estado e historial. Primero intenta conservar cada sondeo en MongoDB y después en SQL; el endpoint puede consultar MongoDB si PostgreSQL falla, siempre que Redis permita autorizar al usuario. No promete conservación íntegra si ambos almacenes están caídos.</w:t>
      </w:r>
    </w:p>
    <w:p>
      <w:pPr>
        <w:pStyle w:val="Heading2"/>
      </w:pPr>
      <w:r>
        <w:t>Redis</w:t>
      </w:r>
    </w:p>
    <w:p>
      <w:r>
        <w:t>Redis mantiene sesiones activas, renovaciones, revocaciones, permisos versionados, contadores de consumo y datos temporales. Las ACL y prefijos delimitan acceso por servicio. JWT contiene identidad y ámbito, pero cada petición protegida comprueba el estado de sesión y autorización en Redis.</w:t>
      </w:r>
    </w:p>
    <w:p>
      <w:r>
        <w:t xml:space="preserve">Los tokens de acceso duran 900 segundos; renovación, 86400 segundos en la configuración base. La renovación rota su secreto; reutilizar una renovación revoca la familia. Logout elimina credenciales del navegador y revoca la sesión. La web conserva tokens cifrados en Redis con TTL máximo de 86400 segundos y una ACL propia; la cookie contiene un identificador opaco. Las concesiones de renovación duran 60 segundos y se liberan solo por su propietario. PostgreSQL conserva cierres y revocaciones pendientes en </w:t>
      </w:r>
      <w:r>
        <w:rPr>
          <w:b w:val="0"/>
          <w:i w:val="0"/>
        </w:rPr>
        <w:t>web_runtime.session_revocations</w:t>
      </w:r>
      <w:r>
        <w:t>: una tabla técnica adicional a las 71 del dominio, 72 entre ambos esquemas. El cierre se registra antes de eliminar credenciales Redis; ante una caída de Redis, el worker completa la revocación después de recuperarse. Las marcas de cierre se conservan hasta 24 horas e impiden reutilizar una cookie antigua. Si PostgreSQL falla, la web deniega acceso protegido y logout elimina la cookie pero informa 503 al no poder confirmar el cierre global.</w:t>
      </w:r>
    </w:p>
    <w:p>
      <w:r>
        <w:t>La caché de consultas autorizadas tiene TTL breve, incluye ámbito y revisión de datos. No se utiliza para decidir una reserva. Los bloqueos SQL y las restricciones únicas protegen el compromiso final. Rate limiting es compartido entre réplicas mediante Redis; detener una réplica no reinicia los contadores.</w:t>
      </w:r>
    </w:p>
    <w:p>
      <w:r>
        <w:t xml:space="preserve">En la tabla siguiente, </w:t>
      </w:r>
      <w:r>
        <w:rPr>
          <w:b w:val="0"/>
          <w:i w:val="0"/>
        </w:rPr>
        <w:t>P</w:t>
      </w:r>
      <w:r>
        <w:t xml:space="preserve"> representa el prefijo configurado mediante </w:t>
      </w:r>
      <w:r>
        <w:rPr>
          <w:b w:val="0"/>
          <w:i w:val="0"/>
        </w:rPr>
        <w:t>REDIS_PREFIX</w:t>
      </w:r>
      <w:r>
        <w:t>; los identificadores son variables del contrato, no credenciales publicadas.</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3408"/>
        <w:gridCol w:w="3408"/>
        <w:gridCol w:w="3408"/>
      </w:tblGrid>
      <w:tr>
        <w:trPr>
          <w:tblHeader/>
          <w:cantSplit/>
        </w:trPr>
        <w:tc>
          <w:tcPr>
            <w:tcW w:type="dxa" w:w="3408"/>
            <w:shd w:fill="991B1B"/>
            <w:tcMar>
              <w:top w:w="80" w:type="dxa"/>
              <w:bottom w:w="80" w:type="dxa"/>
            </w:tcMar>
          </w:tcPr>
          <w:p>
            <w:pPr>
              <w:spacing w:after="0" w:line="240" w:lineRule="auto"/>
            </w:pPr>
            <w:r>
              <w:rPr>
                <w:rFonts w:ascii="Arial" w:hAnsi="Arial"/>
                <w:b/>
                <w:color w:val="FFFFFF"/>
                <w:sz w:val="18"/>
              </w:rPr>
              <w:t xml:space="preserve">Clave después de </w:t>
            </w:r>
            <w:r>
              <w:rPr>
                <w:rFonts w:ascii="Arial" w:hAnsi="Arial"/>
                <w:b/>
                <w:i w:val="0"/>
                <w:color w:val="FFFFFF"/>
                <w:sz w:val="18"/>
              </w:rPr>
              <w:t>P</w:t>
            </w:r>
          </w:p>
        </w:tc>
        <w:tc>
          <w:tcPr>
            <w:tcW w:type="dxa" w:w="3408"/>
            <w:shd w:fill="991B1B"/>
            <w:tcMar>
              <w:top w:w="80" w:type="dxa"/>
              <w:bottom w:w="80" w:type="dxa"/>
            </w:tcMar>
          </w:tcPr>
          <w:p>
            <w:pPr>
              <w:spacing w:after="0" w:line="240" w:lineRule="auto"/>
            </w:pPr>
            <w:r>
              <w:rPr>
                <w:rFonts w:ascii="Arial" w:hAnsi="Arial"/>
                <w:b/>
                <w:color w:val="FFFFFF"/>
                <w:sz w:val="18"/>
              </w:rPr>
              <w:t>Contenido y finalidad</w:t>
            </w:r>
          </w:p>
        </w:tc>
        <w:tc>
          <w:tcPr>
            <w:tcW w:type="dxa" w:w="3408"/>
            <w:shd w:fill="991B1B"/>
            <w:tcMar>
              <w:top w:w="80" w:type="dxa"/>
              <w:bottom w:w="80" w:type="dxa"/>
            </w:tcMar>
          </w:tcPr>
          <w:p>
            <w:pPr>
              <w:spacing w:after="0" w:line="240" w:lineRule="auto"/>
            </w:pPr>
            <w:r>
              <w:rPr>
                <w:rFonts w:ascii="Arial" w:hAnsi="Arial"/>
                <w:b/>
                <w:color w:val="FFFFFF"/>
                <w:sz w:val="18"/>
              </w:rPr>
              <w:t>Expiración vigente</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session:&lt;sid&gt;</w:t>
            </w:r>
          </w:p>
        </w:tc>
        <w:tc>
          <w:tcPr>
            <w:tcW w:type="dxa" w:w="3408"/>
            <w:shd w:fill="FFFFFF"/>
            <w:tcMar>
              <w:top w:w="80" w:type="dxa"/>
              <w:bottom w:w="80" w:type="dxa"/>
            </w:tcMar>
          </w:tcPr>
          <w:p>
            <w:pPr>
              <w:spacing w:after="0" w:line="240" w:lineRule="auto"/>
            </w:pPr>
            <w:r>
              <w:rPr>
                <w:rFonts w:ascii="Arial" w:hAnsi="Arial"/>
                <w:b w:val="0"/>
                <w:color w:val="1F2933"/>
                <w:sz w:val="18"/>
              </w:rPr>
              <w:t>Usuario y vencimiento de la familia activa</w:t>
            </w:r>
          </w:p>
        </w:tc>
        <w:tc>
          <w:tcPr>
            <w:tcW w:type="dxa" w:w="3408"/>
            <w:shd w:fill="FFFFFF"/>
            <w:tcMar>
              <w:top w:w="80" w:type="dxa"/>
              <w:bottom w:w="80" w:type="dxa"/>
            </w:tcMar>
          </w:tcPr>
          <w:p>
            <w:pPr>
              <w:spacing w:after="0" w:line="240" w:lineRule="auto"/>
            </w:pPr>
            <w:r>
              <w:rPr>
                <w:rFonts w:ascii="Arial" w:hAnsi="Arial"/>
                <w:b w:val="0"/>
                <w:color w:val="1F2933"/>
                <w:sz w:val="18"/>
              </w:rPr>
              <w:t>86400 s desde login; se elimina al revocar</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refresh:&lt;sha256&gt;</w:t>
            </w:r>
          </w:p>
        </w:tc>
        <w:tc>
          <w:tcPr>
            <w:tcW w:type="dxa" w:w="3408"/>
            <w:shd w:fill="FFFFFF"/>
            <w:tcMar>
              <w:top w:w="80" w:type="dxa"/>
              <w:bottom w:w="80" w:type="dxa"/>
            </w:tcMar>
          </w:tcPr>
          <w:p>
            <w:pPr>
              <w:spacing w:after="0" w:line="240" w:lineRule="auto"/>
            </w:pPr>
            <w:r>
              <w:rPr>
                <w:rFonts w:ascii="Arial" w:hAnsi="Arial"/>
                <w:b w:val="0"/>
                <w:color w:val="1F2933"/>
                <w:sz w:val="18"/>
              </w:rPr>
              <w:t>Identificador de sesión asociado al secreto de renovación</w:t>
            </w:r>
          </w:p>
        </w:tc>
        <w:tc>
          <w:tcPr>
            <w:tcW w:type="dxa" w:w="3408"/>
            <w:shd w:fill="FFFFFF"/>
            <w:tcMar>
              <w:top w:w="80" w:type="dxa"/>
              <w:bottom w:w="80" w:type="dxa"/>
            </w:tcMar>
          </w:tcPr>
          <w:p>
            <w:pPr>
              <w:spacing w:after="0" w:line="240" w:lineRule="auto"/>
            </w:pPr>
            <w:r>
              <w:rPr>
                <w:rFonts w:ascii="Arial" w:hAnsi="Arial"/>
                <w:b w:val="0"/>
                <w:color w:val="1F2933"/>
                <w:sz w:val="18"/>
              </w:rPr>
              <w:t>Tiempo restante de la familia; rota sin extender su duración</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used_refresh:&lt;sha256&gt;</w:t>
            </w:r>
          </w:p>
        </w:tc>
        <w:tc>
          <w:tcPr>
            <w:tcW w:type="dxa" w:w="3408"/>
            <w:shd w:fill="FFFFFF"/>
            <w:tcMar>
              <w:top w:w="80" w:type="dxa"/>
              <w:bottom w:w="80" w:type="dxa"/>
            </w:tcMar>
          </w:tcPr>
          <w:p>
            <w:pPr>
              <w:spacing w:after="0" w:line="240" w:lineRule="auto"/>
            </w:pPr>
            <w:r>
              <w:rPr>
                <w:rFonts w:ascii="Arial" w:hAnsi="Arial"/>
                <w:b w:val="0"/>
                <w:color w:val="1F2933"/>
                <w:sz w:val="18"/>
              </w:rPr>
              <w:t>Detecta reutilización y permite revocar la familia</w:t>
            </w:r>
          </w:p>
        </w:tc>
        <w:tc>
          <w:tcPr>
            <w:tcW w:type="dxa" w:w="3408"/>
            <w:shd w:fill="FFFFFF"/>
            <w:tcMar>
              <w:top w:w="80" w:type="dxa"/>
              <w:bottom w:w="80" w:type="dxa"/>
            </w:tcMar>
          </w:tcPr>
          <w:p>
            <w:pPr>
              <w:spacing w:after="0" w:line="240" w:lineRule="auto"/>
            </w:pPr>
            <w:r>
              <w:rPr>
                <w:rFonts w:ascii="Arial" w:hAnsi="Arial"/>
                <w:b w:val="0"/>
                <w:color w:val="1F2933"/>
                <w:sz w:val="18"/>
              </w:rPr>
              <w:t>Tiempo restante al rotar; la revocación explícita conserva marcador 86400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permissions:&lt;user&gt;</w:t>
            </w:r>
          </w:p>
        </w:tc>
        <w:tc>
          <w:tcPr>
            <w:tcW w:type="dxa" w:w="3408"/>
            <w:shd w:fill="FFFFFF"/>
            <w:tcMar>
              <w:top w:w="80" w:type="dxa"/>
              <w:bottom w:w="80" w:type="dxa"/>
            </w:tcMar>
          </w:tcPr>
          <w:p>
            <w:pPr>
              <w:spacing w:after="0" w:line="240" w:lineRule="auto"/>
            </w:pPr>
            <w:r>
              <w:rPr>
                <w:rFonts w:ascii="Arial" w:hAnsi="Arial"/>
                <w:b w:val="0"/>
                <w:color w:val="1F2933"/>
                <w:sz w:val="18"/>
              </w:rPr>
              <w:t>Perfil, ámbito, estado y versión autorizados</w:t>
            </w:r>
          </w:p>
        </w:tc>
        <w:tc>
          <w:tcPr>
            <w:tcW w:type="dxa" w:w="3408"/>
            <w:shd w:fill="FFFFFF"/>
            <w:tcMar>
              <w:top w:w="80" w:type="dxa"/>
              <w:bottom w:w="80" w:type="dxa"/>
            </w:tcMar>
          </w:tcPr>
          <w:p>
            <w:pPr>
              <w:spacing w:after="0" w:line="240" w:lineRule="auto"/>
            </w:pPr>
            <w:r>
              <w:rPr>
                <w:rFonts w:ascii="Arial" w:hAnsi="Arial"/>
                <w:b w:val="0"/>
                <w:color w:val="1F2933"/>
                <w:sz w:val="18"/>
              </w:rPr>
              <w:t>86400 s; se vuelve a publicar al autenticar/renovar</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permission_version:&lt;user&gt;</w:t>
            </w:r>
          </w:p>
        </w:tc>
        <w:tc>
          <w:tcPr>
            <w:tcW w:type="dxa" w:w="3408"/>
            <w:shd w:fill="FFFFFF"/>
            <w:tcMar>
              <w:top w:w="80" w:type="dxa"/>
              <w:bottom w:w="80" w:type="dxa"/>
            </w:tcMar>
          </w:tcPr>
          <w:p>
            <w:pPr>
              <w:spacing w:after="0" w:line="240" w:lineRule="auto"/>
            </w:pPr>
            <w:r>
              <w:rPr>
                <w:rFonts w:ascii="Arial" w:hAnsi="Arial"/>
                <w:b w:val="0"/>
                <w:color w:val="1F2933"/>
                <w:sz w:val="18"/>
              </w:rPr>
              <w:t>Revisión vigente que invalida permisos anteriores</w:t>
            </w:r>
          </w:p>
        </w:tc>
        <w:tc>
          <w:tcPr>
            <w:tcW w:type="dxa" w:w="3408"/>
            <w:shd w:fill="FFFFFF"/>
            <w:tcMar>
              <w:top w:w="80" w:type="dxa"/>
              <w:bottom w:w="80" w:type="dxa"/>
            </w:tcMar>
          </w:tcPr>
          <w:p>
            <w:pPr>
              <w:spacing w:after="0" w:line="240" w:lineRule="auto"/>
            </w:pPr>
            <w:r>
              <w:rPr>
                <w:rFonts w:ascii="Arial" w:hAnsi="Arial"/>
                <w:b w:val="0"/>
                <w:color w:val="1F2933"/>
                <w:sz w:val="18"/>
              </w:rPr>
              <w:t>Sin TTL; cambia al modificar la cuenta</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web:session:&lt;sha256-cookie&gt;</w:t>
            </w:r>
          </w:p>
        </w:tc>
        <w:tc>
          <w:tcPr>
            <w:tcW w:type="dxa" w:w="3408"/>
            <w:shd w:fill="FFFFFF"/>
            <w:tcMar>
              <w:top w:w="80" w:type="dxa"/>
              <w:bottom w:w="80" w:type="dxa"/>
            </w:tcMar>
          </w:tcPr>
          <w:p>
            <w:pPr>
              <w:spacing w:after="0" w:line="240" w:lineRule="auto"/>
            </w:pPr>
            <w:r>
              <w:rPr>
                <w:rFonts w:ascii="Arial" w:hAnsi="Arial"/>
                <w:b w:val="0"/>
                <w:color w:val="1F2933"/>
                <w:sz w:val="18"/>
              </w:rPr>
              <w:t>Credenciales cifradas del portal; ACL exclusiva</w:t>
            </w:r>
          </w:p>
        </w:tc>
        <w:tc>
          <w:tcPr>
            <w:tcW w:type="dxa" w:w="3408"/>
            <w:shd w:fill="FFFFFF"/>
            <w:tcMar>
              <w:top w:w="80" w:type="dxa"/>
              <w:bottom w:w="80" w:type="dxa"/>
            </w:tcMar>
          </w:tcPr>
          <w:p>
            <w:pPr>
              <w:spacing w:after="0" w:line="240" w:lineRule="auto"/>
            </w:pPr>
            <w:r>
              <w:rPr>
                <w:rFonts w:ascii="Arial" w:hAnsi="Arial"/>
                <w:b w:val="0"/>
                <w:color w:val="1F2933"/>
                <w:sz w:val="18"/>
              </w:rPr>
              <w:t>Hasta 86400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web:renewal:&lt;sha256-cookie&gt;</w:t>
            </w:r>
          </w:p>
        </w:tc>
        <w:tc>
          <w:tcPr>
            <w:tcW w:type="dxa" w:w="3408"/>
            <w:shd w:fill="FFFFFF"/>
            <w:tcMar>
              <w:top w:w="80" w:type="dxa"/>
              <w:bottom w:w="80" w:type="dxa"/>
            </w:tcMar>
          </w:tcPr>
          <w:p>
            <w:pPr>
              <w:spacing w:after="0" w:line="240" w:lineRule="auto"/>
            </w:pPr>
            <w:r>
              <w:rPr>
                <w:rFonts w:ascii="Arial" w:hAnsi="Arial"/>
                <w:b w:val="0"/>
                <w:color w:val="1F2933"/>
                <w:sz w:val="18"/>
              </w:rPr>
              <w:t>Concesión de renovación concurrente, dueño verificado</w:t>
            </w:r>
          </w:p>
        </w:tc>
        <w:tc>
          <w:tcPr>
            <w:tcW w:type="dxa" w:w="3408"/>
            <w:shd w:fill="FFFFFF"/>
            <w:tcMar>
              <w:top w:w="80" w:type="dxa"/>
              <w:bottom w:w="80" w:type="dxa"/>
            </w:tcMar>
          </w:tcPr>
          <w:p>
            <w:pPr>
              <w:spacing w:after="0" w:line="240" w:lineRule="auto"/>
            </w:pPr>
            <w:r>
              <w:rPr>
                <w:rFonts w:ascii="Arial" w:hAnsi="Arial"/>
                <w:b w:val="0"/>
                <w:color w:val="1F2933"/>
                <w:sz w:val="18"/>
              </w:rPr>
              <w:t>60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revoked:&lt;jti&gt;</w:t>
            </w:r>
          </w:p>
        </w:tc>
        <w:tc>
          <w:tcPr>
            <w:tcW w:type="dxa" w:w="3408"/>
            <w:shd w:fill="FFFFFF"/>
            <w:tcMar>
              <w:top w:w="80" w:type="dxa"/>
              <w:bottom w:w="80" w:type="dxa"/>
            </w:tcMar>
          </w:tcPr>
          <w:p>
            <w:pPr>
              <w:spacing w:after="0" w:line="240" w:lineRule="auto"/>
            </w:pPr>
            <w:r>
              <w:rPr>
                <w:rFonts w:ascii="Arial" w:hAnsi="Arial"/>
                <w:b w:val="0"/>
                <w:color w:val="1F2933"/>
                <w:sz w:val="18"/>
              </w:rPr>
              <w:t>Revocación del JWT presentado al cerrar sesión</w:t>
            </w:r>
          </w:p>
        </w:tc>
        <w:tc>
          <w:tcPr>
            <w:tcW w:type="dxa" w:w="3408"/>
            <w:shd w:fill="FFFFFF"/>
            <w:tcMar>
              <w:top w:w="80" w:type="dxa"/>
              <w:bottom w:w="80" w:type="dxa"/>
            </w:tcMar>
          </w:tcPr>
          <w:p>
            <w:pPr>
              <w:spacing w:after="0" w:line="240" w:lineRule="auto"/>
            </w:pPr>
            <w:r>
              <w:rPr>
                <w:rFonts w:ascii="Arial" w:hAnsi="Arial"/>
                <w:b w:val="0"/>
                <w:color w:val="1F2933"/>
                <w:sz w:val="18"/>
              </w:rPr>
              <w:t>Segundos restantes del token, mínimo 1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login_fail:&lt;sha256&gt;</w:t>
            </w:r>
          </w:p>
        </w:tc>
        <w:tc>
          <w:tcPr>
            <w:tcW w:type="dxa" w:w="3408"/>
            <w:shd w:fill="FFFFFF"/>
            <w:tcMar>
              <w:top w:w="80" w:type="dxa"/>
              <w:bottom w:w="80" w:type="dxa"/>
            </w:tcMar>
          </w:tcPr>
          <w:p>
            <w:pPr>
              <w:spacing w:after="0" w:line="240" w:lineRule="auto"/>
            </w:pPr>
            <w:r>
              <w:rPr>
                <w:rFonts w:ascii="Arial" w:hAnsi="Arial"/>
                <w:b w:val="0"/>
                <w:color w:val="1F2933"/>
                <w:sz w:val="18"/>
              </w:rPr>
              <w:t>Contador de accesos fallidos; bloquea desde cinco intentos</w:t>
            </w:r>
          </w:p>
        </w:tc>
        <w:tc>
          <w:tcPr>
            <w:tcW w:type="dxa" w:w="3408"/>
            <w:shd w:fill="FFFFFF"/>
            <w:tcMar>
              <w:top w:w="80" w:type="dxa"/>
              <w:bottom w:w="80" w:type="dxa"/>
            </w:tcMar>
          </w:tcPr>
          <w:p>
            <w:pPr>
              <w:spacing w:after="0" w:line="240" w:lineRule="auto"/>
            </w:pPr>
            <w:r>
              <w:rPr>
                <w:rFonts w:ascii="Arial" w:hAnsi="Arial"/>
                <w:b w:val="0"/>
                <w:color w:val="1F2933"/>
                <w:sz w:val="18"/>
              </w:rPr>
              <w:t>300 s desde el último intento contabilizado</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limit:&lt;service&gt;:&lt;category&gt;:&lt;scope&gt;:&lt;minute&gt;</w:t>
            </w:r>
          </w:p>
        </w:tc>
        <w:tc>
          <w:tcPr>
            <w:tcW w:type="dxa" w:w="3408"/>
            <w:shd w:fill="FFFFFF"/>
            <w:tcMar>
              <w:top w:w="80" w:type="dxa"/>
              <w:bottom w:w="80" w:type="dxa"/>
            </w:tcMar>
          </w:tcPr>
          <w:p>
            <w:pPr>
              <w:spacing w:after="0" w:line="240" w:lineRule="auto"/>
            </w:pPr>
            <w:r>
              <w:rPr>
                <w:rFonts w:ascii="Arial" w:hAnsi="Arial"/>
                <w:b w:val="0"/>
                <w:color w:val="1F2933"/>
                <w:sz w:val="18"/>
              </w:rPr>
              <w:t>Contador atómico compartido de consumo</w:t>
            </w:r>
          </w:p>
        </w:tc>
        <w:tc>
          <w:tcPr>
            <w:tcW w:type="dxa" w:w="3408"/>
            <w:shd w:fill="FFFFFF"/>
            <w:tcMar>
              <w:top w:w="80" w:type="dxa"/>
              <w:bottom w:w="80" w:type="dxa"/>
            </w:tcMar>
          </w:tcPr>
          <w:p>
            <w:pPr>
              <w:spacing w:after="0" w:line="240" w:lineRule="auto"/>
            </w:pPr>
            <w:r>
              <w:rPr>
                <w:rFonts w:ascii="Arial" w:hAnsi="Arial"/>
                <w:b w:val="0"/>
                <w:color w:val="1F2933"/>
                <w:sz w:val="18"/>
              </w:rPr>
              <w:t>61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nonce:&lt;receiver&gt;:&lt;caller&gt;:&lt;nonce&gt;</w:t>
            </w:r>
          </w:p>
        </w:tc>
        <w:tc>
          <w:tcPr>
            <w:tcW w:type="dxa" w:w="3408"/>
            <w:shd w:fill="FFFFFF"/>
            <w:tcMar>
              <w:top w:w="80" w:type="dxa"/>
              <w:bottom w:w="80" w:type="dxa"/>
            </w:tcMar>
          </w:tcPr>
          <w:p>
            <w:pPr>
              <w:spacing w:after="0" w:line="240" w:lineRule="auto"/>
            </w:pPr>
            <w:r>
              <w:rPr>
                <w:rFonts w:ascii="Arial" w:hAnsi="Arial"/>
                <w:b w:val="0"/>
                <w:color w:val="1F2933"/>
                <w:sz w:val="18"/>
              </w:rPr>
              <w:t>Rechaza repetición de una firma interna</w:t>
            </w:r>
          </w:p>
        </w:tc>
        <w:tc>
          <w:tcPr>
            <w:tcW w:type="dxa" w:w="3408"/>
            <w:shd w:fill="FFFFFF"/>
            <w:tcMar>
              <w:top w:w="80" w:type="dxa"/>
              <w:bottom w:w="80" w:type="dxa"/>
            </w:tcMar>
          </w:tcPr>
          <w:p>
            <w:pPr>
              <w:spacing w:after="0" w:line="240" w:lineRule="auto"/>
            </w:pPr>
            <w:r>
              <w:rPr>
                <w:rFonts w:ascii="Arial" w:hAnsi="Arial"/>
                <w:b w:val="0"/>
                <w:color w:val="1F2933"/>
                <w:sz w:val="18"/>
              </w:rPr>
              <w:t>65 s; firma admite desfase máximo de 30 s</w:t>
            </w:r>
          </w:p>
        </w:tc>
      </w:tr>
      <w:tr>
        <w:trPr>
          <w:cantSplit/>
        </w:trPr>
        <w:tc>
          <w:tcPr>
            <w:tcW w:type="dxa" w:w="3408"/>
            <w:shd w:fill="FFFFFF"/>
            <w:tcMar>
              <w:top w:w="80" w:type="dxa"/>
              <w:bottom w:w="80" w:type="dxa"/>
            </w:tcMar>
          </w:tcPr>
          <w:p>
            <w:pPr>
              <w:spacing w:after="0" w:line="240" w:lineRule="auto"/>
            </w:pPr>
            <w:r>
              <w:rPr>
                <w:rFonts w:ascii="Arial" w:hAnsi="Arial"/>
                <w:b w:val="0"/>
                <w:i w:val="0"/>
                <w:color w:val="1F2933"/>
                <w:sz w:val="18"/>
              </w:rPr>
              <w:t>cache:&lt;service&gt;:read:&lt;sha256&gt;</w:t>
            </w:r>
          </w:p>
        </w:tc>
        <w:tc>
          <w:tcPr>
            <w:tcW w:type="dxa" w:w="3408"/>
            <w:shd w:fill="FFFFFF"/>
            <w:tcMar>
              <w:top w:w="80" w:type="dxa"/>
              <w:bottom w:w="80" w:type="dxa"/>
            </w:tcMar>
          </w:tcPr>
          <w:p>
            <w:pPr>
              <w:spacing w:after="0" w:line="240" w:lineRule="auto"/>
            </w:pPr>
            <w:r>
              <w:rPr>
                <w:rFonts w:ascii="Arial" w:hAnsi="Arial"/>
                <w:b w:val="0"/>
                <w:color w:val="1F2933"/>
                <w:sz w:val="18"/>
              </w:rPr>
              <w:t>Respuesta ligada a usuario, ámbito, filtros y revisión SQL</w:t>
            </w:r>
          </w:p>
        </w:tc>
        <w:tc>
          <w:tcPr>
            <w:tcW w:type="dxa" w:w="3408"/>
            <w:shd w:fill="FFFFFF"/>
            <w:tcMar>
              <w:top w:w="80" w:type="dxa"/>
              <w:bottom w:w="80" w:type="dxa"/>
            </w:tcMar>
          </w:tcPr>
          <w:p>
            <w:pPr>
              <w:spacing w:after="0" w:line="240" w:lineRule="auto"/>
            </w:pPr>
            <w:r>
              <w:rPr>
                <w:rFonts w:ascii="Arial" w:hAnsi="Arial"/>
                <w:b w:val="0"/>
                <w:color w:val="1F2933"/>
                <w:sz w:val="18"/>
              </w:rPr>
              <w:t>Inventario 10/15 s; catálogos 30 s</w:t>
            </w:r>
          </w:p>
        </w:tc>
      </w:tr>
    </w:tbl>
    <w:p/>
    <w:p>
      <w:r>
        <w:t>Las evidencias de login, renovación y revocación conservan comprobaciones SQL y de existencia/TTL Redis. Las pruebas adicionales verifican caché, límites, nonce repetido y denegación durante caída de Redis.</w:t>
      </w:r>
    </w:p>
    <w:p>
      <w:pPr>
        <w:pStyle w:val="Heading2"/>
      </w:pPr>
      <w:r>
        <w:t>Google Cloud Storage</w:t>
      </w:r>
    </w:p>
    <w:p>
      <w:r>
        <w:t xml:space="preserve">El proyecto autorizado es </w:t>
      </w:r>
      <w:r>
        <w:rPr>
          <w:b w:val="0"/>
          <w:i w:val="0"/>
        </w:rPr>
        <w:t>sistemas-integracion-01</w:t>
      </w:r>
      <w:r>
        <w:t xml:space="preserve">. El bucket </w:t>
      </w:r>
      <w:r>
        <w:rPr>
          <w:b w:val="0"/>
          <w:i w:val="0"/>
        </w:rPr>
        <w:t>red-house-evidencias-sistemas-integracion-01</w:t>
      </w:r>
      <w:r>
        <w:t xml:space="preserve"> usa Standard, </w:t>
      </w:r>
      <w:r>
        <w:rPr>
          <w:b w:val="0"/>
          <w:i w:val="0"/>
        </w:rPr>
        <w:t>us-central1</w:t>
      </w:r>
      <w:r>
        <w:t xml:space="preserve">, acceso uniforme y prevención de acceso público. La cuenta </w:t>
      </w:r>
      <w:r>
        <w:rPr>
          <w:b w:val="0"/>
          <w:i w:val="0"/>
        </w:rPr>
        <w:t>red-house-archivos</w:t>
      </w:r>
      <w:r>
        <w:t xml:space="preserve"> tiene permisos de objetos limitados a ese bucket; la firma del usuario se limita a esa cuenta (Google Cloud, 2026b). Se utilizan credenciales impersonadas, sin descargar claves privadas de servicio.</w:t>
      </w:r>
    </w:p>
    <w:p>
      <w:r>
        <w:t>PostgreSQL conserva identificador, traslado, propietario, ruta, MIME, tamaño, hash, generación y estado. Los archivos no se insertan en las bases. La prueba elimina únicamente sus objetos ficticios identificados; no vacía el bucket. Retención clínica, borrado de expedientes reales, antimalware y operación productiva requieren decisiones posteriores.</w:t>
      </w:r>
    </w:p>
    <w:p>
      <w:pPr>
        <w:pStyle w:val="Heading1"/>
      </w:pPr>
      <w:bookmarkStart w:id="7" w:name="report_section_7"/>
      <w:r>
        <w:t>7. Servicios, contratos y comunicación</w:t>
      </w:r>
      <w:bookmarkEnd w:id="7"/>
    </w:p>
    <w:p>
      <w:r>
        <w:t xml:space="preserve">Las </w:t>
      </w:r>
      <w:r>
        <w:rPr>
          <w:b w:val="0"/>
          <w:i w:val="0"/>
        </w:rPr>
        <w:t>fichas individuales</w:t>
      </w:r>
      <w:r>
        <w:t xml:space="preserve"> detallan propósito, dependencias, persistencia, endpoints, puertos, permisos, pruebas y artefactos de cada propietario. El </w:t>
      </w:r>
      <w:r>
        <w:rPr>
          <w:b w:val="0"/>
          <w:i w:val="0"/>
        </w:rPr>
        <w:t>expediente HTTP</w:t>
      </w:r>
      <w:r>
        <w:t xml:space="preserve"> es navegable y distingue peticiones reales HTTP de invocaciones WSGI del monolito.</w:t>
      </w:r>
    </w:p>
    <w:p>
      <w:r>
        <w:t xml:space="preserve">Todos los servicios usan Python/Flask, contratos </w:t>
      </w:r>
      <w:r>
        <w:rPr>
          <w:b w:val="0"/>
          <w:i w:val="0"/>
        </w:rPr>
        <w:t>/api/v1</w:t>
      </w:r>
      <w:r>
        <w:t xml:space="preserve"> y endpoints internos </w:t>
      </w:r>
      <w:r>
        <w:rPr>
          <w:b w:val="0"/>
          <w:i w:val="0"/>
        </w:rPr>
        <w:t>/internal/v1</w:t>
      </w:r>
      <w:r>
        <w:t xml:space="preserve">. Las respuestas externas ofrecen JSON o XML mediante </w:t>
      </w:r>
      <w:r>
        <w:rPr>
          <w:b w:val="0"/>
          <w:i w:val="0"/>
        </w:rPr>
        <w:t>Accept</w:t>
      </w:r>
      <w:r>
        <w:t xml:space="preserve">; el formato de entrada se determina con </w:t>
      </w:r>
      <w:r>
        <w:rPr>
          <w:b w:val="0"/>
          <w:i w:val="0"/>
        </w:rPr>
        <w:t>Content-Type</w:t>
      </w:r>
      <w:r>
        <w:t>. Los esquemas XSD validan estructura, cardinalidad y tipos, con entidades externas y DTD deshabilitados. El XML de respuesta utiliza el contrato tipado versionado; no se concatena XML con entradas sin escape.</w:t>
      </w:r>
    </w:p>
    <w:p>
      <w:r>
        <w:t xml:space="preserve">El sobre satisfactorio contiene </w:t>
      </w:r>
      <w:r>
        <w:rPr>
          <w:b w:val="0"/>
          <w:i w:val="0"/>
        </w:rPr>
        <w:t>data</w:t>
      </w:r>
      <w:r>
        <w:t xml:space="preserve"> y </w:t>
      </w:r>
      <w:r>
        <w:rPr>
          <w:b w:val="0"/>
          <w:i w:val="0"/>
        </w:rPr>
        <w:t>meta</w:t>
      </w:r>
      <w:r>
        <w:t xml:space="preserve">; el error contiene </w:t>
      </w:r>
      <w:r>
        <w:rPr>
          <w:b w:val="0"/>
          <w:i w:val="0"/>
        </w:rPr>
        <w:t>error.code</w:t>
      </w:r>
      <w:r>
        <w:t xml:space="preserve">, </w:t>
      </w:r>
      <w:r>
        <w:rPr>
          <w:b w:val="0"/>
          <w:i w:val="0"/>
        </w:rPr>
        <w:t>error.message</w:t>
      </w:r>
      <w:r>
        <w:t>, detalles permitidos y correlación. Las entradas se validan con modelos explícitos. Paginación y filtros rechazan campos o valores fuera de contrato. Los DTO de salida minimizan datos y excluyen credenciales. Los códigos distinguen validación, ausencia, autenticación, autorización, conflicto, límite y dependencia inaccesible.</w:t>
      </w:r>
    </w:p>
    <w:p>
      <w:r>
        <w:t>Las llamadas internas exigen firma Ed25519 del servicio, marca temporal y nonce. Las llamadas con delegación conservan JWT del usuario. La autorización interna limita qué propietario puede invocar cada operación. Ni una ruta interna ni una dirección de red sustituyen esa autenticación.</w:t>
      </w:r>
    </w:p>
    <w:p>
      <w:r>
        <w:t xml:space="preserve">Swagger se sirve en </w:t>
      </w:r>
      <w:r>
        <w:rPr>
          <w:b w:val="0"/>
          <w:i w:val="0"/>
        </w:rPr>
        <w:t>/docs/</w:t>
      </w:r>
      <w:r>
        <w:t>, con OpenAPI y ejemplos de entrada/salida, incluidos errores. Los ejemplos generados ayudan a construir solicitudes; únicamente el expediente de ejecución demuestra que se realizaron. Las capturas muestran resultados ejecutados y redactados, con acceso al JSON completo y persistencia asociada.</w:t>
      </w:r>
    </w:p>
    <w:p>
      <w:pPr>
        <w:pStyle w:val="Heading1"/>
      </w:pPr>
      <w:bookmarkStart w:id="8" w:name="report_section_8"/>
      <w:r>
        <w:t>8. Seguridad y consistencia</w:t>
      </w:r>
      <w:bookmarkEnd w:id="8"/>
    </w:p>
    <w:p>
      <w:r>
        <w:t>Las contraseñas usan scrypt; no se conservan en texto plano. JWT acepta RS256, emisor y audiencia definidos, expiración y claims requeridos. Redis permite invalidar una sesión aunque el JWT todavía esté firmado y vigente. La autorización combina perfil, región, institución y relación con el recurso.</w:t>
      </w:r>
    </w:p>
    <w:p>
      <w:r>
        <w:t>Los formularios web aplican CSRF, cookies de sesión y validación en servidor. Los archivos se validan antes de publicarse como verificados. SQL usa parámetros/ORM del controlador; las firmas internas y XML tienen defensas específicas contra repetición y XXE. Los errores no revelan DSN, SQL, claves o trazas al usuario.</w:t>
      </w:r>
    </w:p>
    <w:p>
      <w:r>
        <w:t>Cada cambio conserva motivo, actor, correlación y evento local cuando corresponde. El evento se escribe junto con la transacción de negocio. Outbox desacopla su entrega a auditoría, alertas y proyecciones. Inbox deduplica por identificador y huella del contenido. Una caída posterior al commit no elimina el hecho persistido.</w:t>
      </w:r>
    </w:p>
    <w:p>
      <w:r>
        <w:t xml:space="preserve">La evidencia HTTP es optativa y solo se habilita sobre datos ficticios. Redacta contraseñas, tokens, cookies, firmas y URLs privadas. Nunca se habilita por defecto en una instalación operativa. Los archivos </w:t>
      </w:r>
      <w:r>
        <w:rPr>
          <w:b w:val="0"/>
          <w:i w:val="0"/>
        </w:rPr>
        <w:t>.local</w:t>
      </w:r>
      <w:r>
        <w:t>, ADC y secretos quedan fuera de Git y del contexto Docker.</w:t>
      </w:r>
    </w:p>
    <w:p>
      <w:r>
        <w:t>El Compose publica puertos solo en loopback para demostración local. No representa un despliegue público cifrado ni la certificación normativa de una plataforma clínica. Un despliegue externo requiere TLS, políticas de acceso/red, gestión de secretos y revisión regulatoria.</w:t>
      </w:r>
    </w:p>
    <w:p>
      <w:pPr>
        <w:pStyle w:val="Heading1"/>
      </w:pPr>
      <w:bookmarkStart w:id="9" w:name="report_section_9"/>
      <w:r>
        <w:t>9. Algoritmos</w:t>
      </w:r>
      <w:bookmarkEnd w:id="9"/>
    </w:p>
    <w:p>
      <w:r>
        <w:t>La evaluación conserva reglas, versiones y exclusiones. El ranking operativo explica sus factores y no presenta ponderaciones médicas inventadas. La propuesta de balance utiliza matching bipartito Hopcroft–Karp: solicitudes/cupos en un lado, recursos candidatos en el otro; BFS identifica capas y DFS recorre caminos aumentantes. Su complejidad teórica es O(E√V) para el grafo representado.</w:t>
      </w:r>
    </w:p>
    <w:p>
      <w:r>
        <w:t xml:space="preserve">El matching puede encontrar una cobertura mayor que una elección voraz cuando una solicitud admite varios recursos y otra solo uno. La salida es una propuesta; no modifica inventario ni reemplaza autorizaciones. Las pruebas comparan casos restrictivos, propuestas y ausencia de reservas automáticas. Problema, pseudocódigo, casos y límites adicionales están en </w:t>
      </w:r>
      <w:r>
        <w:rPr>
          <w:b w:val="0"/>
          <w:i w:val="0"/>
        </w:rPr>
        <w:t>Algoritmos</w:t>
      </w:r>
      <w:r>
        <w:t>.</w:t>
      </w:r>
    </w:p>
    <w:p>
      <w:r>
        <w:t>La validación de continuidad utiliza carga moderada. La capacidad bajo carga sostenida, estrés y saturación requiere mediciones específicas; los resultados de continuidad no certifican capacidad productiva.</w:t>
      </w:r>
    </w:p>
    <w:p>
      <w:pPr>
        <w:pStyle w:val="Heading1"/>
      </w:pPr>
      <w:bookmarkStart w:id="10" w:name="report_section_10"/>
      <w:r>
        <w:t>10. Instalación, operación y recuperación</w:t>
      </w:r>
      <w:bookmarkEnd w:id="10"/>
    </w:p>
    <w:p>
      <w:r>
        <w:t xml:space="preserve">El procedimiento ejecutable está en </w:t>
      </w:r>
      <w:r>
        <w:rPr>
          <w:b w:val="0"/>
          <w:i w:val="0"/>
        </w:rPr>
        <w:t>deployment/README.md</w:t>
      </w:r>
      <w:r>
        <w:t>. Requiere Docker Compose v2 y Python para preparar secretos. El instalador genera contraseñas, claves de firma y configuraciones privadas; crea la base compartida, ACL, usuarios documentales y 14 cuentas ficticias. Una repetición verifica versión y aplica únicamente la migración documental aditiva.</w:t>
      </w:r>
    </w:p>
    <w:p>
      <w:r>
        <w:t xml:space="preserve">El ensayo desde una instantánea Git local clonada aprobó ocho etapas: preparación, construcción del instalador, arranque de almacenes, bootstrap, construcción de aplicaciones, arranque de 27 contenedores saludables, flujo de sangre con consultas JSON/XML de los once propietarios y repetición del bootstrap. Empleó secretos y volúmenes nuevos. La </w:t>
      </w:r>
      <w:r>
        <w:rPr>
          <w:b w:val="0"/>
          <w:i w:val="0"/>
        </w:rPr>
        <w:t>evidencia del clon</w:t>
      </w:r>
      <w:r>
        <w:t xml:space="preserve"> identifica la instantánea y los resultados.</w:t>
      </w:r>
    </w:p>
    <w:p>
      <w:r>
        <w:t xml:space="preserve">El portal local Docker está en </w:t>
      </w:r>
      <w:r>
        <w:rPr>
          <w:b w:val="0"/>
          <w:i w:val="0"/>
        </w:rPr>
        <w:t>http://127.0.0.1:6050</w:t>
      </w:r>
      <w:r>
        <w:t xml:space="preserve">; gateway API en 6101–6111. PostgreSQL, Redis y MongoDB no publican puertos. La red </w:t>
      </w:r>
      <w:r>
        <w:rPr>
          <w:b w:val="0"/>
          <w:i w:val="0"/>
        </w:rPr>
        <w:t>data</w:t>
      </w:r>
      <w:r>
        <w:t xml:space="preserve"> es interna. El acceso externo se limita a componentes que requieren GCS y al gateway/portal. Las aplicaciones se ejecutan sin privilegios, con sistema de archivos de solo lectura y áreas temporales explícitas.</w:t>
      </w:r>
    </w:p>
    <w:p>
      <w:r>
        <w:t>Liveness comprueba el proceso. Readiness verifica dependencias aplicables y versión de esquema. El health check de cada contenedor verifica además el latido de su propio worker para que el latido de otra réplica no oculte su fallo. Los logs incluyen servicio, ruta, estado, tiempo y correlación, sin cuerpo ni credenciales.</w:t>
      </w:r>
    </w:p>
    <w:p>
      <w:r>
        <w:t>El arranque se realiza por pares de réplicas, empezando por los consumidores de eventos, para permitir el drenaje de colas conservadas. El sondeo Docker usa un proceso Python mínimo, sin cargar paquetes de la aplicación. Las conexiones PostgreSQL se reutilizan en pools acotados por aplicación, credencial y esquema (Psycopg Team, s. f.); un fallo no provoca la repetición automática de una escritura.</w:t>
      </w:r>
    </w:p>
    <w:p>
      <w:r>
        <w:t>Una actualización compatible reemplaza primero A, espera salud y ejecuta una operación, después B. No se aplican cambios destructivos de esquema en el arranque. Cambiar contratos o persistencia requiere una migración planificada con compatibilidad temporal y respaldo. Recrear la misma versión prueba el mecanismo; no demuestra compatibilidad con una migración futura desconocida.</w:t>
      </w:r>
    </w:p>
    <w:p>
      <w:r>
        <w:t>El ensayo final reemplazó ambas imágenes de Inventario por un ID distinto. Las 100 consultas continuas respondieron 200 y se verificó un alta SQL después de cada sustitución. La versión contractual permaneció en 0.3.0; esa prueba acredita la actualización compatible de este incremento.</w:t>
      </w:r>
    </w:p>
    <w:p>
      <w:r>
        <w:t>El respaldo debe conservar PostgreSQL, documentos MongoDB, persistencia/ACL Redis, configuración privada, claves y sesiones web, además de los objetos GCS según su política. La restauración documental utiliza las herramientas de respaldo y restauración de MongoDB (MongoDB, Inc., s. f.). Restaurar solo tablas sin las claves o las colas puede dejar referencias y sesiones incoherentes. El procedimiento de respaldo y restauración aislada se detalla en la guía; los archivos con datos y secretos no forman parte del expediente público.</w:t>
      </w:r>
    </w:p>
    <w:p>
      <w:r>
        <w:t>La restauración comprobada conserva 15 122 filas de 71 tablas, 7 632 documentos, cinco usuarios y cuatro roles MongoDB mediante conteos y hashes idénticos. Redis recuperó la clave de prueba con TTL de 3575 s. Se restauró en motores nuevos sin puertos publicados. Las generaciones GCS no se copian en ese respaldo local y deben conservarse en el bucket.</w:t>
      </w:r>
    </w:p>
    <w:p>
      <w:pPr>
        <w:pStyle w:val="Heading1"/>
      </w:pPr>
      <w:bookmarkStart w:id="11" w:name="report_section_11"/>
      <w:r>
        <w:t>11. Pruebas, evidencia y criterios de aceptación</w:t>
      </w:r>
      <w:bookmarkEnd w:id="11"/>
    </w:p>
    <w:p>
      <w:r>
        <w:t>La suite usa PostgreSQL, MongoDB y Redis temporales, separados del entorno habitual. Los tests de contratos ejercitan JSON/XML/XSD, autenticación, autorización, expiración, renovación, revocación, errores, concurrencia, idempotencia, recuperación y permisos de almacenamiento. Los tests de continuidad detienen listeners HTTP y ejecutan sangre, órganos y procesamiento mediante el backend web autónomo.</w:t>
      </w:r>
    </w:p>
    <w:p>
      <w:r>
        <w:t>Las pruebas Docker ejecutan operaciones de negocio a través del gateway; detienen las instancias A de los once propietarios, comprueban lectura JSON/XML y flujo de órganos, detienen todas las API para ejecutar flujos web, recrean réplicas secuencialmente y reinician las bases para comparar registros. Una página pública o un health check por sí solos no satisfacen esos criterios.</w:t>
      </w:r>
    </w:p>
    <w:p>
      <w:r>
        <w:t>La prueba GCS usa el bucket autorizado, carga y descarga un PNG ficticio, comprueba metadatos SQL, rechazo de acceso público, autorización por traslado, objeto ausente, MIME/contenido inválido, prohibición de sobreescritura, firma expirada y degradación/recuperación. No utiliza URLs fabricadas.</w:t>
      </w:r>
    </w:p>
    <w:p>
      <w:r>
        <w:t xml:space="preserve">Los </w:t>
      </w:r>
      <w:r>
        <w:rPr>
          <w:b w:val="0"/>
          <w:i w:val="0"/>
        </w:rPr>
        <w:t>resultados de validación</w:t>
      </w:r>
      <w:r>
        <w:t xml:space="preserve"> reúnen los valores esperados y obtenidos y los archivos de evidencia. Los resultados siguientes corresponden a ejecuciones identificadas; sus cantidades no se suman como si fueran una sola suite.</w:t>
      </w:r>
    </w:p>
    <w:p>
      <w:r>
        <w:t>La regresión final aprobó 182 pruebas, sin fallos ni omisiones, en 2005.90 s. Una prueba complementaria posterior aprobó en 36.08 s los errores de negociación y las conexiones fallidas/recuperadas de salud para los once propietarios. Docker aprobó nueve comprobaciones operativas. Chrome verificó 20 páginas de siete perfiles, las series Highcharts frente a sus datos del servidor, ancho 390 sin desbordamiento, una carga privada verificada y una consulta Swagger real.</w:t>
      </w:r>
    </w:p>
    <w:p>
      <w:r>
        <w:t>El inventario final contiene 284 métodos/rutas con éxito HTTP y captura. Hay errores ejecutados para 240; las 44 rutas restantes sirven documentación fija y tienen una justificación explícita de no aplicabilidad de error de dominio. Todas las escrituras capturadas incluyen comprobación de persistencia. Estos números se obtienen del manifiesto de cobertura y no se fijan como contrato de futuras versiones.</w:t>
      </w:r>
    </w:p>
    <w:p>
      <w:r>
        <w:t>La captura automática inventaría los métodos y rutas reales de cada aplicación. Cada registro incluye objetivo, URL, parámetros, headers redactados, petición, respuesta, código, fecha, versión, correlación, transporte y hash de implementación. Las escrituras idempotentes se vinculan a una consulta del resultado comprometido en PostgreSQL. Las operaciones sin ese registro requieren la evidencia de flujo o de su almacén específico; el informe de cobertura señala las brechas en lugar de fabricar ejemplos.</w:t>
      </w:r>
    </w:p>
    <w:p>
      <w:pPr>
        <w:pStyle w:val="Heading2"/>
      </w:pPr>
      <w:r>
        <w:t>Resultados de aceptación</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3408"/>
        <w:gridCol w:w="3408"/>
        <w:gridCol w:w="3408"/>
      </w:tblGrid>
      <w:tr>
        <w:trPr>
          <w:tblHeader/>
          <w:cantSplit/>
        </w:trPr>
        <w:tc>
          <w:tcPr>
            <w:tcW w:type="dxa" w:w="3408"/>
            <w:shd w:fill="991B1B"/>
            <w:tcMar>
              <w:top w:w="80" w:type="dxa"/>
              <w:bottom w:w="80" w:type="dxa"/>
            </w:tcMar>
          </w:tcPr>
          <w:p>
            <w:pPr>
              <w:spacing w:after="0" w:line="240" w:lineRule="auto"/>
            </w:pPr>
            <w:r>
              <w:rPr>
                <w:rFonts w:ascii="Arial" w:hAnsi="Arial"/>
                <w:b/>
                <w:color w:val="FFFFFF"/>
                <w:sz w:val="18"/>
              </w:rPr>
              <w:t>Validación</w:t>
            </w:r>
          </w:p>
        </w:tc>
        <w:tc>
          <w:tcPr>
            <w:tcW w:type="dxa" w:w="3408"/>
            <w:shd w:fill="991B1B"/>
            <w:tcMar>
              <w:top w:w="80" w:type="dxa"/>
              <w:bottom w:w="80" w:type="dxa"/>
            </w:tcMar>
          </w:tcPr>
          <w:p>
            <w:pPr>
              <w:spacing w:after="0" w:line="240" w:lineRule="auto"/>
            </w:pPr>
            <w:r>
              <w:rPr>
                <w:rFonts w:ascii="Arial" w:hAnsi="Arial"/>
                <w:b/>
                <w:color w:val="FFFFFF"/>
                <w:sz w:val="18"/>
              </w:rPr>
              <w:t>Resultado comprobado</w:t>
            </w:r>
          </w:p>
        </w:tc>
        <w:tc>
          <w:tcPr>
            <w:tcW w:type="dxa" w:w="3408"/>
            <w:shd w:fill="991B1B"/>
            <w:tcMar>
              <w:top w:w="80" w:type="dxa"/>
              <w:bottom w:w="80" w:type="dxa"/>
            </w:tcMar>
          </w:tcPr>
          <w:p>
            <w:pPr>
              <w:spacing w:after="0" w:line="240" w:lineRule="auto"/>
            </w:pPr>
            <w:r>
              <w:rPr>
                <w:rFonts w:ascii="Arial" w:hAnsi="Arial"/>
                <w:b/>
                <w:color w:val="FFFFFF"/>
                <w:sz w:val="18"/>
              </w:rPr>
              <w:t>Evidencia</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Regresión de servicios, 19 de octubre de 2026</w:t>
            </w:r>
          </w:p>
        </w:tc>
        <w:tc>
          <w:tcPr>
            <w:tcW w:type="dxa" w:w="3408"/>
            <w:shd w:fill="FFFFFF"/>
            <w:tcMar>
              <w:top w:w="80" w:type="dxa"/>
              <w:bottom w:w="80" w:type="dxa"/>
            </w:tcMar>
          </w:tcPr>
          <w:p>
            <w:pPr>
              <w:spacing w:after="0" w:line="240" w:lineRule="auto"/>
            </w:pPr>
            <w:r>
              <w:rPr>
                <w:rFonts w:ascii="Arial" w:hAnsi="Arial"/>
                <w:b w:val="0"/>
                <w:color w:val="1F2933"/>
                <w:sz w:val="18"/>
              </w:rPr>
              <w:t>182 pruebas aprobadas; cero fallos y omisiones; 2005.90 s</w:t>
            </w:r>
          </w:p>
        </w:tc>
        <w:tc>
          <w:tcPr>
            <w:tcW w:type="dxa" w:w="3408"/>
            <w:shd w:fill="FFFFFF"/>
            <w:tcMar>
              <w:top w:w="80" w:type="dxa"/>
              <w:bottom w:w="80" w:type="dxa"/>
            </w:tcMar>
          </w:tcPr>
          <w:p>
            <w:pPr>
              <w:spacing w:after="0" w:line="240" w:lineRule="auto"/>
            </w:pPr>
            <w:r>
              <w:rPr>
                <w:rFonts w:ascii="Arial" w:hAnsi="Arial"/>
                <w:b w:val="0"/>
                <w:i w:val="0"/>
                <w:color w:val="1F2933"/>
                <w:sz w:val="18"/>
              </w:rPr>
              <w:t>JUnit de regresión</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Salud de los once servicios</w:t>
            </w:r>
          </w:p>
        </w:tc>
        <w:tc>
          <w:tcPr>
            <w:tcW w:type="dxa" w:w="3408"/>
            <w:shd w:fill="FFFFFF"/>
            <w:tcMar>
              <w:top w:w="80" w:type="dxa"/>
              <w:bottom w:w="80" w:type="dxa"/>
            </w:tcMar>
          </w:tcPr>
          <w:p>
            <w:pPr>
              <w:spacing w:after="0" w:line="240" w:lineRule="auto"/>
            </w:pPr>
            <w:r>
              <w:rPr>
                <w:rFonts w:ascii="Arial" w:hAnsi="Arial"/>
                <w:b w:val="0"/>
                <w:color w:val="1F2933"/>
                <w:sz w:val="18"/>
              </w:rPr>
              <w:t>Negociación 406, dependencia inaccesible 503 y recuperación 200; una prueba aprobada en 36.08 s</w:t>
            </w:r>
          </w:p>
        </w:tc>
        <w:tc>
          <w:tcPr>
            <w:tcW w:type="dxa" w:w="3408"/>
            <w:shd w:fill="FFFFFF"/>
            <w:tcMar>
              <w:top w:w="80" w:type="dxa"/>
              <w:bottom w:w="80" w:type="dxa"/>
            </w:tcMar>
          </w:tcPr>
          <w:p>
            <w:pPr>
              <w:spacing w:after="0" w:line="240" w:lineRule="auto"/>
            </w:pPr>
            <w:r>
              <w:rPr>
                <w:rFonts w:ascii="Arial" w:hAnsi="Arial"/>
                <w:b w:val="0"/>
                <w:i w:val="0"/>
                <w:color w:val="1F2933"/>
                <w:sz w:val="18"/>
              </w:rPr>
              <w:t>JUnit de salud</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Continuidad Docker</w:t>
            </w:r>
          </w:p>
        </w:tc>
        <w:tc>
          <w:tcPr>
            <w:tcW w:type="dxa" w:w="3408"/>
            <w:shd w:fill="FFFFFF"/>
            <w:tcMar>
              <w:top w:w="80" w:type="dxa"/>
              <w:bottom w:w="80" w:type="dxa"/>
            </w:tcMar>
          </w:tcPr>
          <w:p>
            <w:pPr>
              <w:spacing w:after="0" w:line="240" w:lineRule="auto"/>
            </w:pPr>
            <w:r>
              <w:rPr>
                <w:rFonts w:ascii="Arial" w:hAnsi="Arial"/>
                <w:b w:val="0"/>
                <w:color w:val="1F2933"/>
                <w:sz w:val="18"/>
              </w:rPr>
              <w:t>Nueve controles aprobados; flujos API y web, sustitución de instancias y reinicio de almacenes</w:t>
            </w:r>
          </w:p>
        </w:tc>
        <w:tc>
          <w:tcPr>
            <w:tcW w:type="dxa" w:w="3408"/>
            <w:shd w:fill="FFFFFF"/>
            <w:tcMar>
              <w:top w:w="80" w:type="dxa"/>
              <w:bottom w:w="80" w:type="dxa"/>
            </w:tcMar>
          </w:tcPr>
          <w:p>
            <w:pPr>
              <w:spacing w:after="0" w:line="240" w:lineRule="auto"/>
            </w:pPr>
            <w:r>
              <w:rPr>
                <w:rFonts w:ascii="Arial" w:hAnsi="Arial"/>
                <w:b w:val="0"/>
                <w:i w:val="0"/>
                <w:color w:val="1F2933"/>
                <w:sz w:val="18"/>
              </w:rPr>
              <w:t>Controles Docker</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MongoDB</w:t>
            </w:r>
          </w:p>
        </w:tc>
        <w:tc>
          <w:tcPr>
            <w:tcW w:type="dxa" w:w="3408"/>
            <w:shd w:fill="FFFFFF"/>
            <w:tcMar>
              <w:top w:w="80" w:type="dxa"/>
              <w:bottom w:w="80" w:type="dxa"/>
            </w:tcMar>
          </w:tcPr>
          <w:p>
            <w:pPr>
              <w:spacing w:after="0" w:line="240" w:lineRule="auto"/>
            </w:pPr>
            <w:r>
              <w:rPr>
                <w:rFonts w:ascii="Arial" w:hAnsi="Arial"/>
                <w:b w:val="0"/>
                <w:color w:val="1F2933"/>
                <w:sz w:val="18"/>
              </w:rPr>
              <w:t>Proyección versionada, deduplicación, reconstrucción e índice regional IXSCAN; eventos inmutables</w:t>
            </w:r>
          </w:p>
        </w:tc>
        <w:tc>
          <w:tcPr>
            <w:tcW w:type="dxa" w:w="3408"/>
            <w:shd w:fill="FFFFFF"/>
            <w:tcMar>
              <w:top w:w="80" w:type="dxa"/>
              <w:bottom w:w="80" w:type="dxa"/>
            </w:tcMar>
          </w:tcPr>
          <w:p>
            <w:pPr>
              <w:spacing w:after="0" w:line="240" w:lineRule="auto"/>
            </w:pPr>
            <w:r>
              <w:rPr>
                <w:rFonts w:ascii="Arial" w:hAnsi="Arial"/>
                <w:b w:val="0"/>
                <w:i w:val="0"/>
                <w:color w:val="1F2933"/>
                <w:sz w:val="18"/>
              </w:rPr>
              <w:t>Prueba de proyección</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Archivos GCS</w:t>
            </w:r>
          </w:p>
        </w:tc>
        <w:tc>
          <w:tcPr>
            <w:tcW w:type="dxa" w:w="3408"/>
            <w:shd w:fill="FFFFFF"/>
            <w:tcMar>
              <w:top w:w="80" w:type="dxa"/>
              <w:bottom w:w="80" w:type="dxa"/>
            </w:tcMar>
          </w:tcPr>
          <w:p>
            <w:pPr>
              <w:spacing w:after="0" w:line="240" w:lineRule="auto"/>
            </w:pPr>
            <w:r>
              <w:rPr>
                <w:rFonts w:ascii="Arial" w:hAnsi="Arial"/>
                <w:b w:val="0"/>
                <w:color w:val="1F2933"/>
                <w:sz w:val="18"/>
              </w:rPr>
              <w:t>Descarga 200 con hash idéntico; acceso anónimo 403; contenido inválido 422; objeto ausente 404; firma expirada 400 ExpiredToken; fallo 503 y recuperación 200</w:t>
            </w:r>
          </w:p>
        </w:tc>
        <w:tc>
          <w:tcPr>
            <w:tcW w:type="dxa" w:w="3408"/>
            <w:shd w:fill="FFFFFF"/>
            <w:tcMar>
              <w:top w:w="80" w:type="dxa"/>
              <w:bottom w:w="80" w:type="dxa"/>
            </w:tcMar>
          </w:tcPr>
          <w:p>
            <w:pPr>
              <w:spacing w:after="0" w:line="240" w:lineRule="auto"/>
            </w:pPr>
            <w:r>
              <w:rPr>
                <w:rFonts w:ascii="Arial" w:hAnsi="Arial"/>
                <w:b w:val="0"/>
                <w:i w:val="0"/>
                <w:color w:val="1F2933"/>
                <w:sz w:val="18"/>
              </w:rPr>
              <w:t>Validación GCS</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Interfaz web</w:t>
            </w:r>
          </w:p>
        </w:tc>
        <w:tc>
          <w:tcPr>
            <w:tcW w:type="dxa" w:w="3408"/>
            <w:shd w:fill="FFFFFF"/>
            <w:tcMar>
              <w:top w:w="80" w:type="dxa"/>
              <w:bottom w:w="80" w:type="dxa"/>
            </w:tcMar>
          </w:tcPr>
          <w:p>
            <w:pPr>
              <w:spacing w:after="0" w:line="240" w:lineRule="auto"/>
            </w:pPr>
            <w:r>
              <w:rPr>
                <w:rFonts w:ascii="Arial" w:hAnsi="Arial"/>
                <w:b w:val="0"/>
                <w:color w:val="1F2933"/>
                <w:sz w:val="18"/>
              </w:rPr>
              <w:t>20 páginas de siete perfiles; Highcharts contrastado con datos del servidor; ancho de 390 px sin desbordamiento; sin errores JavaScript</w:t>
            </w:r>
          </w:p>
        </w:tc>
        <w:tc>
          <w:tcPr>
            <w:tcW w:type="dxa" w:w="3408"/>
            <w:shd w:fill="FFFFFF"/>
            <w:tcMar>
              <w:top w:w="80" w:type="dxa"/>
              <w:bottom w:w="80" w:type="dxa"/>
            </w:tcMar>
          </w:tcPr>
          <w:p>
            <w:pPr>
              <w:spacing w:after="0" w:line="240" w:lineRule="auto"/>
            </w:pPr>
            <w:r>
              <w:rPr>
                <w:rFonts w:ascii="Arial" w:hAnsi="Arial"/>
                <w:b w:val="0"/>
                <w:i w:val="0"/>
                <w:color w:val="1F2933"/>
                <w:sz w:val="18"/>
              </w:rPr>
              <w:t>Validación en navegador</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Sesiones y seguridad web, 20 de octubre de 2026</w:t>
            </w:r>
          </w:p>
        </w:tc>
        <w:tc>
          <w:tcPr>
            <w:tcW w:type="dxa" w:w="3408"/>
            <w:shd w:fill="FFFFFF"/>
            <w:tcMar>
              <w:top w:w="80" w:type="dxa"/>
              <w:bottom w:w="80" w:type="dxa"/>
            </w:tcMar>
          </w:tcPr>
          <w:p>
            <w:pPr>
              <w:spacing w:after="0" w:line="240" w:lineRule="auto"/>
            </w:pPr>
            <w:r>
              <w:rPr>
                <w:rFonts w:ascii="Arial" w:hAnsi="Arial"/>
                <w:b w:val="0"/>
                <w:color w:val="1F2933"/>
                <w:sz w:val="18"/>
              </w:rPr>
              <w:t>121 pruebas aprobadas en 798.33 s; incluye continuidad, seguridad, instalación y contratos</w:t>
            </w:r>
          </w:p>
        </w:tc>
        <w:tc>
          <w:tcPr>
            <w:tcW w:type="dxa" w:w="3408"/>
            <w:shd w:fill="FFFFFF"/>
            <w:tcMar>
              <w:top w:w="80" w:type="dxa"/>
              <w:bottom w:w="80" w:type="dxa"/>
            </w:tcMar>
          </w:tcPr>
          <w:p>
            <w:pPr>
              <w:spacing w:after="0" w:line="240" w:lineRule="auto"/>
            </w:pPr>
            <w:r>
              <w:rPr>
                <w:rFonts w:ascii="Arial" w:hAnsi="Arial"/>
                <w:b w:val="0"/>
                <w:i w:val="0"/>
                <w:color w:val="1F2933"/>
                <w:sz w:val="18"/>
              </w:rPr>
              <w:t>JUnit de sesiones y web</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Módulo de sesiones</w:t>
            </w:r>
          </w:p>
        </w:tc>
        <w:tc>
          <w:tcPr>
            <w:tcW w:type="dxa" w:w="3408"/>
            <w:shd w:fill="FFFFFF"/>
            <w:tcMar>
              <w:top w:w="80" w:type="dxa"/>
              <w:bottom w:w="80" w:type="dxa"/>
            </w:tcMar>
          </w:tcPr>
          <w:p>
            <w:pPr>
              <w:spacing w:after="0" w:line="240" w:lineRule="auto"/>
            </w:pPr>
            <w:r>
              <w:rPr>
                <w:rFonts w:ascii="Arial" w:hAnsi="Arial"/>
                <w:b w:val="0"/>
                <w:color w:val="1F2933"/>
                <w:sz w:val="18"/>
              </w:rPr>
              <w:t>Nueve pruebas aprobadas en 82.26 s; cifrado, expiración, ACL, concurrencia, revocación y fallos</w:t>
            </w:r>
          </w:p>
        </w:tc>
        <w:tc>
          <w:tcPr>
            <w:tcW w:type="dxa" w:w="3408"/>
            <w:shd w:fill="FFFFFF"/>
            <w:tcMar>
              <w:top w:w="80" w:type="dxa"/>
              <w:bottom w:w="80" w:type="dxa"/>
            </w:tcMar>
          </w:tcPr>
          <w:p>
            <w:pPr>
              <w:spacing w:after="0" w:line="240" w:lineRule="auto"/>
            </w:pPr>
            <w:r>
              <w:rPr>
                <w:rFonts w:ascii="Arial" w:hAnsi="Arial"/>
                <w:b w:val="0"/>
                <w:i w:val="0"/>
                <w:color w:val="1F2933"/>
                <w:sz w:val="18"/>
              </w:rPr>
              <w:t>JUnit del módulo</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Sesiones mediante HTTP Docker</w:t>
            </w:r>
          </w:p>
        </w:tc>
        <w:tc>
          <w:tcPr>
            <w:tcW w:type="dxa" w:w="3408"/>
            <w:shd w:fill="FFFFFF"/>
            <w:tcMar>
              <w:top w:w="80" w:type="dxa"/>
              <w:bottom w:w="80" w:type="dxa"/>
            </w:tcMar>
          </w:tcPr>
          <w:p>
            <w:pPr>
              <w:spacing w:after="0" w:line="240" w:lineRule="auto"/>
            </w:pPr>
            <w:r>
              <w:rPr>
                <w:rFonts w:ascii="Arial" w:hAnsi="Arial"/>
                <w:b w:val="0"/>
                <w:color w:val="1F2933"/>
                <w:sz w:val="18"/>
              </w:rPr>
              <w:t>Login 302, renovación 200 y logout 302; rechazo de cookie cerrada; tokens cifrados y TTL verificado</w:t>
            </w:r>
          </w:p>
        </w:tc>
        <w:tc>
          <w:tcPr>
            <w:tcW w:type="dxa" w:w="3408"/>
            <w:shd w:fill="FFFFFF"/>
            <w:tcMar>
              <w:top w:w="80" w:type="dxa"/>
              <w:bottom w:w="80" w:type="dxa"/>
            </w:tcMar>
          </w:tcPr>
          <w:p>
            <w:pPr>
              <w:spacing w:after="0" w:line="240" w:lineRule="auto"/>
            </w:pPr>
            <w:r>
              <w:rPr>
                <w:rFonts w:ascii="Arial" w:hAnsi="Arial"/>
                <w:b w:val="0"/>
                <w:i w:val="0"/>
                <w:color w:val="1F2933"/>
                <w:sz w:val="18"/>
              </w:rPr>
              <w:t>Sesiones en Docker</w:t>
            </w:r>
          </w:p>
        </w:tc>
      </w:tr>
      <w:tr>
        <w:trPr>
          <w:cantSplit/>
        </w:trPr>
        <w:tc>
          <w:tcPr>
            <w:tcW w:type="dxa" w:w="3408"/>
            <w:shd w:fill="FFFFFF"/>
            <w:tcMar>
              <w:top w:w="80" w:type="dxa"/>
              <w:bottom w:w="80" w:type="dxa"/>
            </w:tcMar>
          </w:tcPr>
          <w:p>
            <w:pPr>
              <w:spacing w:after="0" w:line="240" w:lineRule="auto"/>
            </w:pPr>
            <w:r>
              <w:rPr>
                <w:rFonts w:ascii="Arial" w:hAnsi="Arial"/>
                <w:b w:val="0"/>
                <w:color w:val="1F2933"/>
                <w:sz w:val="18"/>
              </w:rPr>
              <w:t>Restauración con sesiones técnicas</w:t>
            </w:r>
          </w:p>
        </w:tc>
        <w:tc>
          <w:tcPr>
            <w:tcW w:type="dxa" w:w="3408"/>
            <w:shd w:fill="FFFFFF"/>
            <w:tcMar>
              <w:top w:w="80" w:type="dxa"/>
              <w:bottom w:w="80" w:type="dxa"/>
            </w:tcMar>
          </w:tcPr>
          <w:p>
            <w:pPr>
              <w:spacing w:after="0" w:line="240" w:lineRule="auto"/>
            </w:pPr>
            <w:r>
              <w:rPr>
                <w:rFonts w:ascii="Arial" w:hAnsi="Arial"/>
                <w:b w:val="0"/>
                <w:color w:val="1F2933"/>
                <w:sz w:val="18"/>
              </w:rPr>
              <w:t>15 209 filas de 72 tablas idénticas por conteo y hash; permisos del portal limitados; clave Redis con TTL de 3531 s</w:t>
            </w:r>
          </w:p>
        </w:tc>
        <w:tc>
          <w:tcPr>
            <w:tcW w:type="dxa" w:w="3408"/>
            <w:shd w:fill="FFFFFF"/>
            <w:tcMar>
              <w:top w:w="80" w:type="dxa"/>
              <w:bottom w:w="80" w:type="dxa"/>
            </w:tcMar>
          </w:tcPr>
          <w:p>
            <w:pPr>
              <w:spacing w:after="0" w:line="240" w:lineRule="auto"/>
            </w:pPr>
            <w:r>
              <w:rPr>
                <w:rFonts w:ascii="Arial" w:hAnsi="Arial"/>
                <w:b w:val="0"/>
                <w:i w:val="0"/>
                <w:color w:val="1F2933"/>
                <w:sz w:val="18"/>
              </w:rPr>
              <w:t>Restauración de sesiones</w:t>
            </w:r>
          </w:p>
        </w:tc>
      </w:tr>
    </w:tbl>
    <w:p/>
    <w:p>
      <w:r>
        <w:t xml:space="preserve">El ensayo de firma expirada comprueba tanto el código HTTP como el código XML </w:t>
      </w:r>
      <w:r>
        <w:rPr>
          <w:b w:val="0"/>
          <w:i w:val="0"/>
        </w:rPr>
        <w:t>ExpiredToken</w:t>
      </w:r>
      <w:r>
        <w:t>, conforme al contrato del proveedor (Google Cloud, 2026a). Las nueve pruebas del módulo de sesiones se superponen con la regresión de 121 casos; no representan 130 casos distintos. Las mediciones de restauración corresponden a instantáneas identificadas y no describen cantidades de datos permanentes de la plataforma.</w:t>
      </w:r>
    </w:p>
    <w:p>
      <w:r>
        <w:t xml:space="preserve">Las pruebas de sesiones verifican acceso desde dos instancias, renovación simultánea, cierre durante renovación, caída de Redis y PostgreSQL y recuperación de credenciales cifradas. Si Redis falla durante el cierre, PostgreSQL conserva la revocación pendiente. Si PostgreSQL falla, el acceso protegido devuelve 503 y el cierre elimina la cookie sin afirmar que confirmó la revocación global. Las marcas de cierre impiden reactivar cookies antiguas después de restaurar Redis. La </w:t>
      </w:r>
      <w:r>
        <w:rPr>
          <w:b w:val="0"/>
          <w:i w:val="0"/>
        </w:rPr>
        <w:t>validación de sesiones</w:t>
      </w:r>
      <w:r>
        <w:t xml:space="preserve"> documenta las condiciones reproducibles de estos ensayos.</w:t>
      </w:r>
    </w:p>
    <w:p>
      <w:pPr>
        <w:pStyle w:val="Heading1"/>
      </w:pPr>
      <w:bookmarkStart w:id="12" w:name="report_section_12"/>
      <w:r>
        <w:t>12. Limitaciones del alcance</w:t>
      </w:r>
      <w:bookmarkEnd w:id="12"/>
    </w:p>
    <w:p>
      <w:r>
        <w:t>La compatibilidad y la priorización proporcionan apoyo a la coordinación y requieren revisión humana autorizada. Los resultados académicos no constituyen validación clínica ni certificación normativa para utilizar el sistema en atención real.</w:t>
      </w:r>
    </w:p>
    <w:p>
      <w:r>
        <w:t>La redundancia de las API se limita a dos instancias por servicio dentro de un mismo host. PostgreSQL, Redis, MongoDB, el gateway y el host continúan siendo puntos únicos de infraestructura; no se ha demostrado tolerancia a la pérdida completa del host ni disponibilidad entre zonas.</w:t>
      </w:r>
    </w:p>
    <w:p>
      <w:r>
        <w:t>Las pruebas de continuidad y recuperación acreditan los escenarios descritos en sus evidencias. No establecen capacidad bajo carga sostenida, saturación o estrés productivo, ni garantizan compatibilidad con migraciones futuras que modifiquen contratos o estructuras de datos.</w:t>
      </w:r>
    </w:p>
    <w:p>
      <w:pPr>
        <w:pStyle w:val="Title"/>
        <w:pageBreakBefore/>
      </w:pPr>
      <w:bookmarkStart w:id="13" w:name="report_section_13"/>
      <w:r>
        <w:t>13. Catálogo de microservicios</w:t>
      </w:r>
      <w:bookmarkEnd w:id="13"/>
    </w:p>
    <w:p>
      <w:r>
        <w:t>Edición 0.3.0. Los contratos enlazados contienen campos, tipos, obligatoriedad, ejemplos JSON/XML, XSD, errores y paginación. El expediente HTTP distingue ejemplos de ejecuciones.</w:t>
      </w:r>
    </w:p>
    <w:p>
      <w:r>
        <w:t xml:space="preserve">Cada servicio tiene API Flask/REST y worker supervisado, módulos de rutas/modelos, biblioteca común de autorización/contratos y persistencia propia mediante vistas limitadas. Puerto interno 8080; el gateway publica un puerto por propietario. Versiones exactas de dependencias en </w:t>
      </w:r>
      <w:r>
        <w:rPr>
          <w:b w:val="0"/>
          <w:i w:val="0"/>
        </w:rPr>
        <w:t>requirements-verified.txt</w:t>
      </w:r>
      <w:r>
        <w:t>; Docker usa Python 3.13 y las pruebas locales Python 3.12.</w:t>
      </w:r>
    </w:p>
    <w:p>
      <w:pPr>
        <w:pStyle w:val="Heading1"/>
      </w:pPr>
      <w:bookmarkStart w:id="14" w:name="report_section_14"/>
      <w:r>
        <w:t>13.1. Identidad y acceso</w:t>
      </w:r>
      <w:bookmarkEnd w:id="14"/>
    </w:p>
    <w:p>
      <w:r>
        <w:t>Identifica a cada persona y limita qué puede hacer y en qué institución.</w:t>
      </w:r>
    </w:p>
    <w:p>
      <w:r>
        <w:rPr>
          <w:b/>
          <w:i w:val="0"/>
        </w:rPr>
        <w:t>Justificación y proceso:</w:t>
      </w:r>
      <w:r>
        <w:t xml:space="preserve"> Un médico inicia sesión, recibe JWT y renovación; Inventario verifica su sesión y permisos antes de reservar.</w:t>
      </w:r>
    </w:p>
    <w:p>
      <w:r>
        <w:rPr>
          <w:b/>
          <w:i w:val="0"/>
        </w:rPr>
        <w:t>Integración declarada:</w:t>
      </w:r>
      <w:r>
        <w:t xml:space="preserve"> puede invocar contratos internos de auditoria; acepta llamadas firmadas de donantes, inventario, priorizacion_geografia,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Usuarios, instituciones, sesiones registradas y hashes scrypt en PostgreSQL. Redis conserva sesiones activas, permisos versionados, renovaciones y revocaciones.</w:t>
      </w:r>
    </w:p>
    <w:p>
      <w:r>
        <w:rPr>
          <w:b/>
          <w:i w:val="0"/>
        </w:rPr>
        <w:t>Ámbito SQL:</w:t>
      </w:r>
      <w:r>
        <w:t xml:space="preserve"> </w:t>
      </w:r>
      <w:r>
        <w:rPr>
          <w:b w:val="0"/>
          <w:i w:val="0"/>
        </w:rPr>
        <w:t>access_identidad_acceso</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cache_revision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red_house.cache_revision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catalogue</w:t>
            </w:r>
          </w:p>
        </w:tc>
        <w:tc>
          <w:tcPr>
            <w:tcW w:type="dxa" w:w="5112"/>
            <w:shd w:fill="FFFFFF"/>
            <w:tcMar>
              <w:top w:w="80" w:type="dxa"/>
              <w:bottom w:w="80" w:type="dxa"/>
            </w:tcMar>
          </w:tcPr>
          <w:p>
            <w:pPr>
              <w:spacing w:after="0" w:line="240" w:lineRule="auto"/>
            </w:pPr>
            <w:r>
              <w:rPr>
                <w:rFonts w:ascii="Arial" w:hAnsi="Arial"/>
                <w:b w:val="0"/>
                <w:i w:val="0"/>
                <w:color w:val="1F2933"/>
                <w:sz w:val="18"/>
              </w:rPr>
              <w:t>red_house.catalogue_entry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institutions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red_house.institution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sessions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red_house.web_session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users</w:t>
            </w:r>
          </w:p>
        </w:tc>
        <w:tc>
          <w:tcPr>
            <w:tcW w:type="dxa" w:w="5112"/>
            <w:shd w:fill="FFFFFF"/>
            <w:tcMar>
              <w:top w:w="80" w:type="dxa"/>
              <w:bottom w:w="80" w:type="dxa"/>
            </w:tcMar>
          </w:tcPr>
          <w:p>
            <w:pPr>
              <w:spacing w:after="0" w:line="240" w:lineRule="auto"/>
            </w:pPr>
            <w:r>
              <w:rPr>
                <w:rFonts w:ascii="Arial" w:hAnsi="Arial"/>
                <w:b w:val="0"/>
                <w:i w:val="0"/>
                <w:color w:val="1F2933"/>
                <w:sz w:val="18"/>
              </w:rPr>
              <w:t>red_house.user_account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identidad-acceso-a/b</w:t>
      </w:r>
      <w:r>
        <w:t xml:space="preserve">, gateway </w:t>
      </w:r>
      <w:r>
        <w:rPr>
          <w:b w:val="0"/>
          <w:i w:val="0"/>
        </w:rPr>
        <w:t>http://127.0.0.1:6101</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/api/v1/auth/login</w:t>
            </w:r>
          </w:p>
        </w:tc>
        <w:tc>
          <w:tcPr>
            <w:tcW w:type="dxa" w:w="3987"/>
            <w:shd w:fill="FFFFFF"/>
            <w:tcMar>
              <w:top w:w="80" w:type="dxa"/>
              <w:bottom w:w="80" w:type="dxa"/>
            </w:tcMar>
          </w:tcPr>
          <w:p>
            <w:pPr>
              <w:spacing w:after="0" w:line="240" w:lineRule="auto"/>
            </w:pPr>
            <w:r>
              <w:rPr>
                <w:rFonts w:ascii="Arial" w:hAnsi="Arial"/>
                <w:b w:val="0"/>
                <w:color w:val="1F2933"/>
                <w:sz w:val="18"/>
              </w:rPr>
              <w:t>Iniciar sesión independiente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/api/v1/auth/refresh</w:t>
            </w:r>
          </w:p>
        </w:tc>
        <w:tc>
          <w:tcPr>
            <w:tcW w:type="dxa" w:w="3987"/>
            <w:shd w:fill="FFFFFF"/>
            <w:tcMar>
              <w:top w:w="80" w:type="dxa"/>
              <w:bottom w:w="80" w:type="dxa"/>
            </w:tcMar>
          </w:tcPr>
          <w:p>
            <w:pPr>
              <w:spacing w:after="0" w:line="240" w:lineRule="auto"/>
            </w:pPr>
            <w:r>
              <w:rPr>
                <w:rFonts w:ascii="Arial" w:hAnsi="Arial"/>
                <w:b w:val="0"/>
                <w:color w:val="1F2933"/>
                <w:sz w:val="18"/>
              </w:rPr>
              <w:t>Rotar renovación; repetición revoca familia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/api/v1/auth/logout</w:t>
            </w:r>
          </w:p>
        </w:tc>
        <w:tc>
          <w:tcPr>
            <w:tcW w:type="dxa" w:w="3987"/>
            <w:shd w:fill="FFFFFF"/>
            <w:tcMar>
              <w:top w:w="80" w:type="dxa"/>
              <w:bottom w:w="80" w:type="dxa"/>
            </w:tcMar>
          </w:tcPr>
          <w:p>
            <w:pPr>
              <w:spacing w:after="0" w:line="240" w:lineRule="auto"/>
            </w:pPr>
            <w:r>
              <w:rPr>
                <w:rFonts w:ascii="Arial" w:hAnsi="Arial"/>
                <w:b w:val="0"/>
                <w:color w:val="1F2933"/>
                <w:sz w:val="18"/>
              </w:rPr>
              <w:t>Cerrar sesión y revocar familia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/api/v1/auth/revoke</w:t>
            </w:r>
          </w:p>
        </w:tc>
        <w:tc>
          <w:tcPr>
            <w:tcW w:type="dxa" w:w="3987"/>
            <w:shd w:fill="FFFFFF"/>
            <w:tcMar>
              <w:top w:w="80" w:type="dxa"/>
              <w:bottom w:w="80" w:type="dxa"/>
            </w:tcMar>
          </w:tcPr>
          <w:p>
            <w:pPr>
              <w:spacing w:after="0" w:line="240" w:lineRule="auto"/>
            </w:pPr>
            <w:r>
              <w:rPr>
                <w:rFonts w:ascii="Arial" w:hAnsi="Arial"/>
                <w:b w:val="0"/>
                <w:color w:val="1F2933"/>
                <w:sz w:val="18"/>
              </w:rPr>
              <w:t>Revocar familia con renovación opaca, incluso si venció el JWT de acceso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/api/v1/auth/me</w:t>
            </w:r>
          </w:p>
        </w:tc>
        <w:tc>
          <w:tcPr>
            <w:tcW w:type="dxa" w:w="3987"/>
            <w:shd w:fill="FFFFFF"/>
            <w:tcMar>
              <w:top w:w="80" w:type="dxa"/>
              <w:bottom w:w="80" w:type="dxa"/>
            </w:tcMar>
          </w:tcPr>
          <w:p>
            <w:pPr>
              <w:spacing w:after="0" w:line="240" w:lineRule="auto"/>
            </w:pPr>
            <w:r>
              <w:rPr>
                <w:rFonts w:ascii="Arial" w:hAnsi="Arial"/>
                <w:b w:val="0"/>
                <w:color w:val="1F2933"/>
                <w:sz w:val="18"/>
              </w:rPr>
              <w:t>Consultar perfil y permisos vigentes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/api/v1/institutions</w:t>
            </w:r>
          </w:p>
        </w:tc>
        <w:tc>
          <w:tcPr>
            <w:tcW w:type="dxa" w:w="3987"/>
            <w:shd w:fill="FFFFFF"/>
            <w:tcMar>
              <w:top w:w="80" w:type="dxa"/>
              <w:bottom w:w="80" w:type="dxa"/>
            </w:tcMar>
          </w:tcPr>
          <w:p>
            <w:pPr>
              <w:spacing w:after="0" w:line="240" w:lineRule="auto"/>
            </w:pPr>
            <w:r>
              <w:rPr>
                <w:rFonts w:ascii="Arial" w:hAnsi="Arial"/>
                <w:b w:val="0"/>
                <w:color w:val="1F2933"/>
                <w:sz w:val="18"/>
              </w:rPr>
              <w:t>Instituciones de la región; sin datos clínicos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/api/v1/institutions</w:t>
            </w:r>
          </w:p>
        </w:tc>
        <w:tc>
          <w:tcPr>
            <w:tcW w:type="dxa" w:w="3987"/>
            <w:shd w:fill="FFFFFF"/>
            <w:tcMar>
              <w:top w:w="80" w:type="dxa"/>
              <w:bottom w:w="80" w:type="dxa"/>
            </w:tcMar>
          </w:tcPr>
          <w:p>
            <w:pPr>
              <w:spacing w:after="0" w:line="240" w:lineRule="auto"/>
            </w:pPr>
            <w:r>
              <w:rPr>
                <w:rFonts w:ascii="Arial" w:hAnsi="Arial"/>
                <w:b w:val="0"/>
                <w:color w:val="1F2933"/>
                <w:sz w:val="18"/>
              </w:rPr>
              <w:t>Registrar institución de la región</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/api/v1/institutions/{identifier}</w:t>
            </w:r>
          </w:p>
        </w:tc>
        <w:tc>
          <w:tcPr>
            <w:tcW w:type="dxa" w:w="3987"/>
            <w:shd w:fill="FFFFFF"/>
            <w:tcMar>
              <w:top w:w="80" w:type="dxa"/>
              <w:bottom w:w="80" w:type="dxa"/>
            </w:tcMar>
          </w:tcPr>
          <w:p>
            <w:pPr>
              <w:spacing w:after="0" w:line="240" w:lineRule="auto"/>
            </w:pPr>
            <w:r>
              <w:rPr>
                <w:rFonts w:ascii="Arial" w:hAnsi="Arial"/>
                <w:b w:val="0"/>
                <w:color w:val="1F2933"/>
                <w:sz w:val="18"/>
              </w:rPr>
              <w:t>Detalle administrativo de institución regional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/api/v1/institutions/{identifier}</w:t>
            </w:r>
          </w:p>
        </w:tc>
        <w:tc>
          <w:tcPr>
            <w:tcW w:type="dxa" w:w="3987"/>
            <w:shd w:fill="FFFFFF"/>
            <w:tcMar>
              <w:top w:w="80" w:type="dxa"/>
              <w:bottom w:w="80" w:type="dxa"/>
            </w:tcMar>
          </w:tcPr>
          <w:p>
            <w:pPr>
              <w:spacing w:after="0" w:line="240" w:lineRule="auto"/>
            </w:pPr>
            <w:r>
              <w:rPr>
                <w:rFonts w:ascii="Arial" w:hAnsi="Arial"/>
                <w:b w:val="0"/>
                <w:color w:val="1F2933"/>
                <w:sz w:val="18"/>
              </w:rPr>
              <w:t>Editar nombre institucional propio con versión y motivo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/api/v1/institutions/{identifier}/administrator</w:t>
            </w:r>
          </w:p>
        </w:tc>
        <w:tc>
          <w:tcPr>
            <w:tcW w:type="dxa" w:w="3987"/>
            <w:shd w:fill="FFFFFF"/>
            <w:tcMar>
              <w:top w:w="80" w:type="dxa"/>
              <w:bottom w:w="80" w:type="dxa"/>
            </w:tcMar>
          </w:tcPr>
          <w:p>
            <w:pPr>
              <w:spacing w:after="0" w:line="240" w:lineRule="auto"/>
            </w:pPr>
            <w:r>
              <w:rPr>
                <w:rFonts w:ascii="Arial" w:hAnsi="Arial"/>
                <w:b w:val="0"/>
                <w:color w:val="1F2933"/>
                <w:sz w:val="18"/>
              </w:rPr>
              <w:t>Provisionar primer administrador de una institución creada por esta cuenta</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/api/v1/users</w:t>
            </w:r>
          </w:p>
        </w:tc>
        <w:tc>
          <w:tcPr>
            <w:tcW w:type="dxa" w:w="3987"/>
            <w:shd w:fill="FFFFFF"/>
            <w:tcMar>
              <w:top w:w="80" w:type="dxa"/>
              <w:bottom w:w="80" w:type="dxa"/>
            </w:tcMar>
          </w:tcPr>
          <w:p>
            <w:pPr>
              <w:spacing w:after="0" w:line="240" w:lineRule="auto"/>
            </w:pPr>
            <w:r>
              <w:rPr>
                <w:rFonts w:ascii="Arial" w:hAnsi="Arial"/>
                <w:b w:val="0"/>
                <w:color w:val="1F2933"/>
                <w:sz w:val="18"/>
              </w:rPr>
              <w:t>Crear cuenta institucional</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/api/v1/users</w:t>
            </w:r>
          </w:p>
        </w:tc>
        <w:tc>
          <w:tcPr>
            <w:tcW w:type="dxa" w:w="3987"/>
            <w:shd w:fill="FFFFFF"/>
            <w:tcMar>
              <w:top w:w="80" w:type="dxa"/>
              <w:bottom w:w="80" w:type="dxa"/>
            </w:tcMar>
          </w:tcPr>
          <w:p>
            <w:pPr>
              <w:spacing w:after="0" w:line="240" w:lineRule="auto"/>
            </w:pPr>
            <w:r>
              <w:rPr>
                <w:rFonts w:ascii="Arial" w:hAnsi="Arial"/>
                <w:b w:val="0"/>
                <w:color w:val="1F2933"/>
                <w:sz w:val="18"/>
              </w:rPr>
              <w:t>Cuentas propias o personal regional de traslado; nunca hashes ni sesiones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/api/v1/users/{identifier}</w:t>
            </w:r>
          </w:p>
        </w:tc>
        <w:tc>
          <w:tcPr>
            <w:tcW w:type="dxa" w:w="3987"/>
            <w:shd w:fill="FFFFFF"/>
            <w:tcMar>
              <w:top w:w="80" w:type="dxa"/>
              <w:bottom w:w="80" w:type="dxa"/>
            </w:tcMar>
          </w:tcPr>
          <w:p>
            <w:pPr>
              <w:spacing w:after="0" w:line="240" w:lineRule="auto"/>
            </w:pPr>
            <w:r>
              <w:rPr>
                <w:rFonts w:ascii="Arial" w:hAnsi="Arial"/>
                <w:b w:val="0"/>
                <w:color w:val="1F2933"/>
                <w:sz w:val="18"/>
              </w:rPr>
              <w:t>Activar/desactivar cuenta; invalidar permisos antes del cambio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/internal/v1/institutions/{identifier}</w:t>
            </w:r>
          </w:p>
        </w:tc>
        <w:tc>
          <w:tcPr>
            <w:tcW w:type="dxa" w:w="3987"/>
            <w:shd w:fill="FFFFFF"/>
            <w:tcMar>
              <w:top w:w="80" w:type="dxa"/>
              <w:bottom w:w="80" w:type="dxa"/>
            </w:tcMar>
          </w:tcPr>
          <w:p>
            <w:pPr>
              <w:spacing w:after="0" w:line="240" w:lineRule="auto"/>
            </w:pPr>
            <w:r>
              <w:rPr>
                <w:rFonts w:ascii="Arial" w:hAnsi="Arial"/>
                <w:b w:val="0"/>
                <w:color w:val="1F2933"/>
                <w:sz w:val="18"/>
              </w:rPr>
              <w:t>Referencia institucional autorizada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/internal/v1/users/{identifier}</w:t>
            </w:r>
          </w:p>
        </w:tc>
        <w:tc>
          <w:tcPr>
            <w:tcW w:type="dxa" w:w="3987"/>
            <w:shd w:fill="FFFFFF"/>
            <w:tcMar>
              <w:top w:w="80" w:type="dxa"/>
              <w:bottom w:w="80" w:type="dxa"/>
            </w:tcMar>
          </w:tcPr>
          <w:p>
            <w:pPr>
              <w:spacing w:after="0" w:line="240" w:lineRule="auto"/>
            </w:pPr>
            <w:r>
              <w:rPr>
                <w:rFonts w:ascii="Arial" w:hAnsi="Arial"/>
                <w:b w:val="0"/>
                <w:color w:val="1F2933"/>
                <w:sz w:val="18"/>
              </w:rPr>
              <w:t>Validar personal de traslado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/api/v1/catalogues/sites</w:t>
            </w:r>
          </w:p>
        </w:tc>
        <w:tc>
          <w:tcPr>
            <w:tcW w:type="dxa" w:w="3987"/>
            <w:shd w:fill="FFFFFF"/>
            <w:tcMar>
              <w:top w:w="80" w:type="dxa"/>
              <w:bottom w:w="80" w:type="dxa"/>
            </w:tcMar>
          </w:tcPr>
          <w:p>
            <w:pPr>
              <w:spacing w:after="0" w:line="240" w:lineRule="auto"/>
            </w:pPr>
            <w:r>
              <w:rPr>
                <w:rFonts w:ascii="Arial" w:hAnsi="Arial"/>
                <w:b w:val="0"/>
                <w:color w:val="1F2933"/>
                <w:sz w:val="18"/>
              </w:rPr>
              <w:t>Consultar sites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/api/v1/catalogues/sites</w:t>
            </w:r>
          </w:p>
        </w:tc>
        <w:tc>
          <w:tcPr>
            <w:tcW w:type="dxa" w:w="3987"/>
            <w:shd w:fill="FFFFFF"/>
            <w:tcMar>
              <w:top w:w="80" w:type="dxa"/>
              <w:bottom w:w="80" w:type="dxa"/>
            </w:tcMar>
          </w:tcPr>
          <w:p>
            <w:pPr>
              <w:spacing w:after="0" w:line="240" w:lineRule="auto"/>
            </w:pPr>
            <w:r>
              <w:rPr>
                <w:rFonts w:ascii="Arial" w:hAnsi="Arial"/>
                <w:b w:val="0"/>
                <w:color w:val="1F2933"/>
                <w:sz w:val="18"/>
              </w:rPr>
              <w:t>Registrar sites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/api/v1/catalogues/sites/{identifier}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sites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/api/v1/catalogues/sites/{identifier}</w:t>
            </w:r>
          </w:p>
        </w:tc>
        <w:tc>
          <w:tcPr>
            <w:tcW w:type="dxa" w:w="3987"/>
            <w:shd w:fill="FFFFFF"/>
            <w:tcMar>
              <w:top w:w="80" w:type="dxa"/>
              <w:bottom w:w="80" w:type="dxa"/>
            </w:tcMar>
          </w:tcPr>
          <w:p>
            <w:pPr>
              <w:spacing w:after="0" w:line="240" w:lineRule="auto"/>
            </w:pPr>
            <w:r>
              <w:rPr>
                <w:rFonts w:ascii="Arial" w:hAnsi="Arial"/>
                <w:b w:val="0"/>
                <w:color w:val="1F2933"/>
                <w:sz w:val="18"/>
              </w:rPr>
              <w:t>Editar o desactivar sites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/api/v1/catalogues/contacts</w:t>
            </w:r>
          </w:p>
        </w:tc>
        <w:tc>
          <w:tcPr>
            <w:tcW w:type="dxa" w:w="3987"/>
            <w:shd w:fill="FFFFFF"/>
            <w:tcMar>
              <w:top w:w="80" w:type="dxa"/>
              <w:bottom w:w="80" w:type="dxa"/>
            </w:tcMar>
          </w:tcPr>
          <w:p>
            <w:pPr>
              <w:spacing w:after="0" w:line="240" w:lineRule="auto"/>
            </w:pPr>
            <w:r>
              <w:rPr>
                <w:rFonts w:ascii="Arial" w:hAnsi="Arial"/>
                <w:b w:val="0"/>
                <w:color w:val="1F2933"/>
                <w:sz w:val="18"/>
              </w:rPr>
              <w:t>Consultar contacts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/api/v1/catalogues/contacts</w:t>
            </w:r>
          </w:p>
        </w:tc>
        <w:tc>
          <w:tcPr>
            <w:tcW w:type="dxa" w:w="3987"/>
            <w:shd w:fill="FFFFFF"/>
            <w:tcMar>
              <w:top w:w="80" w:type="dxa"/>
              <w:bottom w:w="80" w:type="dxa"/>
            </w:tcMar>
          </w:tcPr>
          <w:p>
            <w:pPr>
              <w:spacing w:after="0" w:line="240" w:lineRule="auto"/>
            </w:pPr>
            <w:r>
              <w:rPr>
                <w:rFonts w:ascii="Arial" w:hAnsi="Arial"/>
                <w:b w:val="0"/>
                <w:color w:val="1F2933"/>
                <w:sz w:val="18"/>
              </w:rPr>
              <w:t>Registrar contacts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/api/v1/catalogues/contacts/{identifier}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contacts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/api/v1/catalogues/contacts/{identifier}</w:t>
            </w:r>
          </w:p>
        </w:tc>
        <w:tc>
          <w:tcPr>
            <w:tcW w:type="dxa" w:w="3987"/>
            <w:shd w:fill="FFFFFF"/>
            <w:tcMar>
              <w:top w:w="80" w:type="dxa"/>
              <w:bottom w:w="80" w:type="dxa"/>
            </w:tcMar>
          </w:tcPr>
          <w:p>
            <w:pPr>
              <w:spacing w:after="0" w:line="240" w:lineRule="auto"/>
            </w:pPr>
            <w:r>
              <w:rPr>
                <w:rFonts w:ascii="Arial" w:hAnsi="Arial"/>
                <w:b w:val="0"/>
                <w:color w:val="1F2933"/>
                <w:sz w:val="18"/>
              </w:rPr>
              <w:t>Editar o desactivar contacts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/api/v1/catalogues/schedules</w:t>
            </w:r>
          </w:p>
        </w:tc>
        <w:tc>
          <w:tcPr>
            <w:tcW w:type="dxa" w:w="3987"/>
            <w:shd w:fill="FFFFFF"/>
            <w:tcMar>
              <w:top w:w="80" w:type="dxa"/>
              <w:bottom w:w="80" w:type="dxa"/>
            </w:tcMar>
          </w:tcPr>
          <w:p>
            <w:pPr>
              <w:spacing w:after="0" w:line="240" w:lineRule="auto"/>
            </w:pPr>
            <w:r>
              <w:rPr>
                <w:rFonts w:ascii="Arial" w:hAnsi="Arial"/>
                <w:b w:val="0"/>
                <w:color w:val="1F2933"/>
                <w:sz w:val="18"/>
              </w:rPr>
              <w:t>Consultar schedules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/api/v1/catalogues/schedules</w:t>
            </w:r>
          </w:p>
        </w:tc>
        <w:tc>
          <w:tcPr>
            <w:tcW w:type="dxa" w:w="3987"/>
            <w:shd w:fill="FFFFFF"/>
            <w:tcMar>
              <w:top w:w="80" w:type="dxa"/>
              <w:bottom w:w="80" w:type="dxa"/>
            </w:tcMar>
          </w:tcPr>
          <w:p>
            <w:pPr>
              <w:spacing w:after="0" w:line="240" w:lineRule="auto"/>
            </w:pPr>
            <w:r>
              <w:rPr>
                <w:rFonts w:ascii="Arial" w:hAnsi="Arial"/>
                <w:b w:val="0"/>
                <w:color w:val="1F2933"/>
                <w:sz w:val="18"/>
              </w:rPr>
              <w:t>Registrar schedules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/api/v1/catalogues/schedules/{identifier}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schedules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/api/v1/catalogues/schedules/{identifier}</w:t>
            </w:r>
          </w:p>
        </w:tc>
        <w:tc>
          <w:tcPr>
            <w:tcW w:type="dxa" w:w="3987"/>
            <w:shd w:fill="FFFFFF"/>
            <w:tcMar>
              <w:top w:w="80" w:type="dxa"/>
              <w:bottom w:w="80" w:type="dxa"/>
            </w:tcMar>
          </w:tcPr>
          <w:p>
            <w:pPr>
              <w:spacing w:after="0" w:line="240" w:lineRule="auto"/>
            </w:pPr>
            <w:r>
              <w:rPr>
                <w:rFonts w:ascii="Arial" w:hAnsi="Arial"/>
                <w:b w:val="0"/>
                <w:color w:val="1F2933"/>
                <w:sz w:val="18"/>
              </w:rPr>
              <w:t>Editar o desactivar schedules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/api/v1/catalogues/capacities</w:t>
            </w:r>
          </w:p>
        </w:tc>
        <w:tc>
          <w:tcPr>
            <w:tcW w:type="dxa" w:w="3987"/>
            <w:shd w:fill="FFFFFF"/>
            <w:tcMar>
              <w:top w:w="80" w:type="dxa"/>
              <w:bottom w:w="80" w:type="dxa"/>
            </w:tcMar>
          </w:tcPr>
          <w:p>
            <w:pPr>
              <w:spacing w:after="0" w:line="240" w:lineRule="auto"/>
            </w:pPr>
            <w:r>
              <w:rPr>
                <w:rFonts w:ascii="Arial" w:hAnsi="Arial"/>
                <w:b w:val="0"/>
                <w:color w:val="1F2933"/>
                <w:sz w:val="18"/>
              </w:rPr>
              <w:t>Consultar capacities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/api/v1/catalogues/capacities</w:t>
            </w:r>
          </w:p>
        </w:tc>
        <w:tc>
          <w:tcPr>
            <w:tcW w:type="dxa" w:w="3987"/>
            <w:shd w:fill="FFFFFF"/>
            <w:tcMar>
              <w:top w:w="80" w:type="dxa"/>
              <w:bottom w:w="80" w:type="dxa"/>
            </w:tcMar>
          </w:tcPr>
          <w:p>
            <w:pPr>
              <w:spacing w:after="0" w:line="240" w:lineRule="auto"/>
            </w:pPr>
            <w:r>
              <w:rPr>
                <w:rFonts w:ascii="Arial" w:hAnsi="Arial"/>
                <w:b w:val="0"/>
                <w:color w:val="1F2933"/>
                <w:sz w:val="18"/>
              </w:rPr>
              <w:t>Registrar capacities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/api/v1/catalogues/capacities/{identifier}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capacities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/api/v1/catalogues/capacities/{identifier}</w:t>
            </w:r>
          </w:p>
        </w:tc>
        <w:tc>
          <w:tcPr>
            <w:tcW w:type="dxa" w:w="3987"/>
            <w:shd w:fill="FFFFFF"/>
            <w:tcMar>
              <w:top w:w="80" w:type="dxa"/>
              <w:bottom w:w="80" w:type="dxa"/>
            </w:tcMar>
          </w:tcPr>
          <w:p>
            <w:pPr>
              <w:spacing w:after="0" w:line="240" w:lineRule="auto"/>
            </w:pPr>
            <w:r>
              <w:rPr>
                <w:rFonts w:ascii="Arial" w:hAnsi="Arial"/>
                <w:b w:val="0"/>
                <w:color w:val="1F2933"/>
                <w:sz w:val="18"/>
              </w:rPr>
              <w:t>Editar o desactivar capacities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/api/v1/catalogues/locations</w:t>
            </w:r>
          </w:p>
        </w:tc>
        <w:tc>
          <w:tcPr>
            <w:tcW w:type="dxa" w:w="3987"/>
            <w:shd w:fill="FFFFFF"/>
            <w:tcMar>
              <w:top w:w="80" w:type="dxa"/>
              <w:bottom w:w="80" w:type="dxa"/>
            </w:tcMar>
          </w:tcPr>
          <w:p>
            <w:pPr>
              <w:spacing w:after="0" w:line="240" w:lineRule="auto"/>
            </w:pPr>
            <w:r>
              <w:rPr>
                <w:rFonts w:ascii="Arial" w:hAnsi="Arial"/>
                <w:b w:val="0"/>
                <w:color w:val="1F2933"/>
                <w:sz w:val="18"/>
              </w:rPr>
              <w:t>Consultar locations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/api/v1/catalogues/locations</w:t>
            </w:r>
          </w:p>
        </w:tc>
        <w:tc>
          <w:tcPr>
            <w:tcW w:type="dxa" w:w="3987"/>
            <w:shd w:fill="FFFFFF"/>
            <w:tcMar>
              <w:top w:w="80" w:type="dxa"/>
              <w:bottom w:w="80" w:type="dxa"/>
            </w:tcMar>
          </w:tcPr>
          <w:p>
            <w:pPr>
              <w:spacing w:after="0" w:line="240" w:lineRule="auto"/>
            </w:pPr>
            <w:r>
              <w:rPr>
                <w:rFonts w:ascii="Arial" w:hAnsi="Arial"/>
                <w:b w:val="0"/>
                <w:color w:val="1F2933"/>
                <w:sz w:val="18"/>
              </w:rPr>
              <w:t>Registrar locations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/api/v1/catalogues/locations/{identifier}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locations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/api/v1/catalogues/locations/{identifier}</w:t>
            </w:r>
          </w:p>
        </w:tc>
        <w:tc>
          <w:tcPr>
            <w:tcW w:type="dxa" w:w="3987"/>
            <w:shd w:fill="FFFFFF"/>
            <w:tcMar>
              <w:top w:w="80" w:type="dxa"/>
              <w:bottom w:w="80" w:type="dxa"/>
            </w:tcMar>
          </w:tcPr>
          <w:p>
            <w:pPr>
              <w:spacing w:after="0" w:line="240" w:lineRule="auto"/>
            </w:pPr>
            <w:r>
              <w:rPr>
                <w:rFonts w:ascii="Arial" w:hAnsi="Arial"/>
                <w:b w:val="0"/>
                <w:color w:val="1F2933"/>
                <w:sz w:val="18"/>
              </w:rPr>
              <w:t>Editar o desactivar locations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/internal/v1/locations/{identifier}</w:t>
            </w:r>
          </w:p>
        </w:tc>
        <w:tc>
          <w:tcPr>
            <w:tcW w:type="dxa" w:w="3987"/>
            <w:shd w:fill="FFFFFF"/>
            <w:tcMar>
              <w:top w:w="80" w:type="dxa"/>
              <w:bottom w:w="80" w:type="dxa"/>
            </w:tcMar>
          </w:tcPr>
          <w:p>
            <w:pPr>
              <w:spacing w:after="0" w:line="240" w:lineRule="auto"/>
            </w:pPr>
            <w:r>
              <w:rPr>
                <w:rFonts w:ascii="Arial" w:hAnsi="Arial"/>
                <w:b w:val="0"/>
                <w:color w:val="1F2933"/>
                <w:sz w:val="18"/>
              </w:rPr>
              <w:t>Validar ubicación y sede de la institución del usuario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15" w:name="report_section_15"/>
      <w:r>
        <w:t>13.2. Donantes</w:t>
      </w:r>
      <w:bookmarkEnd w:id="15"/>
    </w:p>
    <w:p>
      <w:r>
        <w:t>Gestiona registros preliminares, consentimiento, dictamen humano, donaciones, campañas y citas.</w:t>
      </w:r>
    </w:p>
    <w:p>
      <w:r>
        <w:rPr>
          <w:b/>
          <w:i w:val="0"/>
        </w:rPr>
        <w:t>Justificación y proceso:</w:t>
      </w:r>
      <w:r>
        <w:t xml:space="preserve"> Un donante se registra y agenda una cita. Un médico registra elegibilidad; después se documentan recolección y procesamiento.</w:t>
      </w:r>
    </w:p>
    <w:p>
      <w:r>
        <w:rPr>
          <w:b/>
          <w:i w:val="0"/>
        </w:rPr>
        <w:t>Integración declarada:</w:t>
      </w:r>
      <w:r>
        <w:t xml:space="preserve"> puede invocar contratos internos de alertas, auditoria, identidad_acceso; acepta llamadas firmadas de inventario.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expedientes y transacciones. Redis valida acceso y limita consumo. Outbox publica auditoría y avisos dirigidos al donante.</w:t>
      </w:r>
    </w:p>
    <w:p>
      <w:r>
        <w:rPr>
          <w:b/>
          <w:i w:val="0"/>
        </w:rPr>
        <w:t>Ámbito SQL:</w:t>
      </w:r>
      <w:r>
        <w:t xml:space="preserve"> </w:t>
      </w:r>
      <w:r>
        <w:rPr>
          <w:b w:val="0"/>
          <w:i w:val="0"/>
        </w:rPr>
        <w:t>access_donantes</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appointments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red_house.appointment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campaigns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red_house.campaign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donation_steps</w:t>
            </w:r>
          </w:p>
        </w:tc>
        <w:tc>
          <w:tcPr>
            <w:tcW w:type="dxa" w:w="5112"/>
            <w:shd w:fill="FFFFFF"/>
            <w:tcMar>
              <w:top w:w="80" w:type="dxa"/>
              <w:bottom w:w="80" w:type="dxa"/>
            </w:tcMar>
          </w:tcPr>
          <w:p>
            <w:pPr>
              <w:spacing w:after="0" w:line="240" w:lineRule="auto"/>
            </w:pPr>
            <w:r>
              <w:rPr>
                <w:rFonts w:ascii="Arial" w:hAnsi="Arial"/>
                <w:b w:val="0"/>
                <w:i w:val="0"/>
                <w:color w:val="1F2933"/>
                <w:sz w:val="18"/>
              </w:rPr>
              <w:t>red_house.donation_event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donations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red_house.donation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donor_reviews</w:t>
            </w:r>
          </w:p>
        </w:tc>
        <w:tc>
          <w:tcPr>
            <w:tcW w:type="dxa" w:w="5112"/>
            <w:shd w:fill="FFFFFF"/>
            <w:tcMar>
              <w:top w:w="80" w:type="dxa"/>
              <w:bottom w:w="80" w:type="dxa"/>
            </w:tcMar>
          </w:tcPr>
          <w:p>
            <w:pPr>
              <w:spacing w:after="0" w:line="240" w:lineRule="auto"/>
            </w:pPr>
            <w:r>
              <w:rPr>
                <w:rFonts w:ascii="Arial" w:hAnsi="Arial"/>
                <w:b w:val="0"/>
                <w:i w:val="0"/>
                <w:color w:val="1F2933"/>
                <w:sz w:val="18"/>
              </w:rPr>
              <w:t>red_house.donor_review</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donors</w:t>
            </w:r>
          </w:p>
        </w:tc>
        <w:tc>
          <w:tcPr>
            <w:tcW w:type="dxa" w:w="5112"/>
            <w:shd w:fill="FFFFFF"/>
            <w:tcMar>
              <w:top w:w="80" w:type="dxa"/>
              <w:bottom w:w="80" w:type="dxa"/>
            </w:tcMar>
          </w:tcPr>
          <w:p>
            <w:pPr>
              <w:spacing w:after="0" w:line="240" w:lineRule="auto"/>
            </w:pPr>
            <w:r>
              <w:rPr>
                <w:rFonts w:ascii="Arial" w:hAnsi="Arial"/>
                <w:b w:val="0"/>
                <w:i w:val="0"/>
                <w:color w:val="1F2933"/>
                <w:sz w:val="18"/>
              </w:rPr>
              <w:t>red_house.donor</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donantes-a/b</w:t>
      </w:r>
      <w:r>
        <w:t xml:space="preserve">, gateway </w:t>
      </w:r>
      <w:r>
        <w:rPr>
          <w:b w:val="0"/>
          <w:i w:val="0"/>
        </w:rPr>
        <w:t>http://127.0.0.1:6102</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/api/v1/donors</w:t>
            </w:r>
          </w:p>
        </w:tc>
        <w:tc>
          <w:tcPr>
            <w:tcW w:type="dxa" w:w="3987"/>
            <w:shd w:fill="FFFFFF"/>
            <w:tcMar>
              <w:top w:w="80" w:type="dxa"/>
              <w:bottom w:w="80" w:type="dxa"/>
            </w:tcMar>
          </w:tcPr>
          <w:p>
            <w:pPr>
              <w:spacing w:after="0" w:line="240" w:lineRule="auto"/>
            </w:pPr>
            <w:r>
              <w:rPr>
                <w:rFonts w:ascii="Arial" w:hAnsi="Arial"/>
                <w:b w:val="0"/>
                <w:color w:val="1F2933"/>
                <w:sz w:val="18"/>
              </w:rPr>
              <w:t>Registro preliminar con consentimiento</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/api/v1/donors</w:t>
            </w:r>
          </w:p>
        </w:tc>
        <w:tc>
          <w:tcPr>
            <w:tcW w:type="dxa" w:w="3987"/>
            <w:shd w:fill="FFFFFF"/>
            <w:tcMar>
              <w:top w:w="80" w:type="dxa"/>
              <w:bottom w:w="80" w:type="dxa"/>
            </w:tcMar>
          </w:tcPr>
          <w:p>
            <w:pPr>
              <w:spacing w:after="0" w:line="240" w:lineRule="auto"/>
            </w:pPr>
            <w:r>
              <w:rPr>
                <w:rFonts w:ascii="Arial" w:hAnsi="Arial"/>
                <w:b w:val="0"/>
                <w:color w:val="1F2933"/>
                <w:sz w:val="18"/>
              </w:rPr>
              <w:t>Expedientes autorizados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/api/v1/donors/{identifier}</w:t>
            </w:r>
          </w:p>
        </w:tc>
        <w:tc>
          <w:tcPr>
            <w:tcW w:type="dxa" w:w="3987"/>
            <w:shd w:fill="FFFFFF"/>
            <w:tcMar>
              <w:top w:w="80" w:type="dxa"/>
              <w:bottom w:w="80" w:type="dxa"/>
            </w:tcMar>
          </w:tcPr>
          <w:p>
            <w:pPr>
              <w:spacing w:after="0" w:line="240" w:lineRule="auto"/>
            </w:pPr>
            <w:r>
              <w:rPr>
                <w:rFonts w:ascii="Arial" w:hAnsi="Arial"/>
                <w:b w:val="0"/>
                <w:color w:val="1F2933"/>
                <w:sz w:val="18"/>
              </w:rPr>
              <w:t>Expediente y evaluaciones humanas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/api/v1/donors/{identifier}</w:t>
            </w:r>
          </w:p>
        </w:tc>
        <w:tc>
          <w:tcPr>
            <w:tcW w:type="dxa" w:w="3987"/>
            <w:shd w:fill="FFFFFF"/>
            <w:tcMar>
              <w:top w:w="80" w:type="dxa"/>
              <w:bottom w:w="80" w:type="dxa"/>
            </w:tcMar>
          </w:tcPr>
          <w:p>
            <w:pPr>
              <w:spacing w:after="0" w:line="240" w:lineRule="auto"/>
            </w:pPr>
            <w:r>
              <w:rPr>
                <w:rFonts w:ascii="Arial" w:hAnsi="Arial"/>
                <w:b w:val="0"/>
                <w:color w:val="1F2933"/>
                <w:sz w:val="18"/>
              </w:rPr>
              <w:t>Corregir expediente sin dictámenes ni donaciones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/api/v1/donors/{identifier}/reviews</w:t>
            </w:r>
          </w:p>
        </w:tc>
        <w:tc>
          <w:tcPr>
            <w:tcW w:type="dxa" w:w="3987"/>
            <w:shd w:fill="FFFFFF"/>
            <w:tcMar>
              <w:top w:w="80" w:type="dxa"/>
              <w:bottom w:w="80" w:type="dxa"/>
            </w:tcMar>
          </w:tcPr>
          <w:p>
            <w:pPr>
              <w:spacing w:after="0" w:line="240" w:lineRule="auto"/>
            </w:pPr>
            <w:r>
              <w:rPr>
                <w:rFonts w:ascii="Arial" w:hAnsi="Arial"/>
                <w:b w:val="0"/>
                <w:color w:val="1F2933"/>
                <w:sz w:val="18"/>
              </w:rPr>
              <w:t>Dictamen humano de elegibilidad</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/api/v1/campaigns</w:t>
            </w:r>
          </w:p>
        </w:tc>
        <w:tc>
          <w:tcPr>
            <w:tcW w:type="dxa" w:w="3987"/>
            <w:shd w:fill="FFFFFF"/>
            <w:tcMar>
              <w:top w:w="80" w:type="dxa"/>
              <w:bottom w:w="80" w:type="dxa"/>
            </w:tcMar>
          </w:tcPr>
          <w:p>
            <w:pPr>
              <w:spacing w:after="0" w:line="240" w:lineRule="auto"/>
            </w:pPr>
            <w:r>
              <w:rPr>
                <w:rFonts w:ascii="Arial" w:hAnsi="Arial"/>
                <w:b w:val="0"/>
                <w:color w:val="1F2933"/>
                <w:sz w:val="18"/>
              </w:rPr>
              <w:t>Crear campaña y capacidad de citas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/api/v1/campaigns</w:t>
            </w:r>
          </w:p>
        </w:tc>
        <w:tc>
          <w:tcPr>
            <w:tcW w:type="dxa" w:w="3987"/>
            <w:shd w:fill="FFFFFF"/>
            <w:tcMar>
              <w:top w:w="80" w:type="dxa"/>
              <w:bottom w:w="80" w:type="dxa"/>
            </w:tcMar>
          </w:tcPr>
          <w:p>
            <w:pPr>
              <w:spacing w:after="0" w:line="240" w:lineRule="auto"/>
            </w:pPr>
            <w:r>
              <w:rPr>
                <w:rFonts w:ascii="Arial" w:hAnsi="Arial"/>
                <w:b w:val="0"/>
                <w:color w:val="1F2933"/>
                <w:sz w:val="18"/>
              </w:rPr>
              <w:t>Campañas institucionales vigentes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/api/v1/appointments</w:t>
            </w:r>
          </w:p>
        </w:tc>
        <w:tc>
          <w:tcPr>
            <w:tcW w:type="dxa" w:w="3987"/>
            <w:shd w:fill="FFFFFF"/>
            <w:tcMar>
              <w:top w:w="80" w:type="dxa"/>
              <w:bottom w:w="80" w:type="dxa"/>
            </w:tcMar>
          </w:tcPr>
          <w:p>
            <w:pPr>
              <w:spacing w:after="0" w:line="240" w:lineRule="auto"/>
            </w:pPr>
            <w:r>
              <w:rPr>
                <w:rFonts w:ascii="Arial" w:hAnsi="Arial"/>
                <w:b w:val="0"/>
                <w:color w:val="1F2933"/>
                <w:sz w:val="18"/>
              </w:rPr>
              <w:t>Reservar cita sin exceder capacidad</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/api/v1/appointments</w:t>
            </w:r>
          </w:p>
        </w:tc>
        <w:tc>
          <w:tcPr>
            <w:tcW w:type="dxa" w:w="3987"/>
            <w:shd w:fill="FFFFFF"/>
            <w:tcMar>
              <w:top w:w="80" w:type="dxa"/>
              <w:bottom w:w="80" w:type="dxa"/>
            </w:tcMar>
          </w:tcPr>
          <w:p>
            <w:pPr>
              <w:spacing w:after="0" w:line="240" w:lineRule="auto"/>
            </w:pPr>
            <w:r>
              <w:rPr>
                <w:rFonts w:ascii="Arial" w:hAnsi="Arial"/>
                <w:b w:val="0"/>
                <w:color w:val="1F2933"/>
                <w:sz w:val="18"/>
              </w:rPr>
              <w:t>Citas propias o institucionales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/api/v1/appointments/{identifier}/cancel</w:t>
            </w:r>
          </w:p>
        </w:tc>
        <w:tc>
          <w:tcPr>
            <w:tcW w:type="dxa" w:w="3987"/>
            <w:shd w:fill="FFFFFF"/>
            <w:tcMar>
              <w:top w:w="80" w:type="dxa"/>
              <w:bottom w:w="80" w:type="dxa"/>
            </w:tcMar>
          </w:tcPr>
          <w:p>
            <w:pPr>
              <w:spacing w:after="0" w:line="240" w:lineRule="auto"/>
            </w:pPr>
            <w:r>
              <w:rPr>
                <w:rFonts w:ascii="Arial" w:hAnsi="Arial"/>
                <w:b w:val="0"/>
                <w:color w:val="1F2933"/>
                <w:sz w:val="18"/>
              </w:rPr>
              <w:t>Cancelar cita y liberar cupo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/api/v1/donations</w:t>
            </w:r>
          </w:p>
        </w:tc>
        <w:tc>
          <w:tcPr>
            <w:tcW w:type="dxa" w:w="3987"/>
            <w:shd w:fill="FFFFFF"/>
            <w:tcMar>
              <w:top w:w="80" w:type="dxa"/>
              <w:bottom w:w="80" w:type="dxa"/>
            </w:tcMar>
          </w:tcPr>
          <w:p>
            <w:pPr>
              <w:spacing w:after="0" w:line="240" w:lineRule="auto"/>
            </w:pPr>
            <w:r>
              <w:rPr>
                <w:rFonts w:ascii="Arial" w:hAnsi="Arial"/>
                <w:b w:val="0"/>
                <w:color w:val="1F2933"/>
                <w:sz w:val="18"/>
              </w:rPr>
              <w:t>Registrar donación tras elegibilidad y confirmación humana</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/api/v1/donations</w:t>
            </w:r>
          </w:p>
        </w:tc>
        <w:tc>
          <w:tcPr>
            <w:tcW w:type="dxa" w:w="3987"/>
            <w:shd w:fill="FFFFFF"/>
            <w:tcMar>
              <w:top w:w="80" w:type="dxa"/>
              <w:bottom w:w="80" w:type="dxa"/>
            </w:tcMar>
          </w:tcPr>
          <w:p>
            <w:pPr>
              <w:spacing w:after="0" w:line="240" w:lineRule="auto"/>
            </w:pPr>
            <w:r>
              <w:rPr>
                <w:rFonts w:ascii="Arial" w:hAnsi="Arial"/>
                <w:b w:val="0"/>
                <w:color w:val="1F2933"/>
                <w:sz w:val="18"/>
              </w:rPr>
              <w:t>Donaciones de la institución sin expediente personal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/api/v1/donations/{identifier}/steps</w:t>
            </w:r>
          </w:p>
        </w:tc>
        <w:tc>
          <w:tcPr>
            <w:tcW w:type="dxa" w:w="3987"/>
            <w:shd w:fill="FFFFFF"/>
            <w:tcMar>
              <w:top w:w="80" w:type="dxa"/>
              <w:bottom w:w="80" w:type="dxa"/>
            </w:tcMar>
          </w:tcPr>
          <w:p>
            <w:pPr>
              <w:spacing w:after="0" w:line="240" w:lineRule="auto"/>
            </w:pPr>
            <w:r>
              <w:rPr>
                <w:rFonts w:ascii="Arial" w:hAnsi="Arial"/>
                <w:b w:val="0"/>
                <w:color w:val="1F2933"/>
                <w:sz w:val="18"/>
              </w:rPr>
              <w:t>Documentar procesamiento o rechazo; no infiere elegibilidad clínica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/internal/v1/donations/{identifier}</w:t>
            </w:r>
          </w:p>
        </w:tc>
        <w:tc>
          <w:tcPr>
            <w:tcW w:type="dxa" w:w="3987"/>
            <w:shd w:fill="FFFFFF"/>
            <w:tcMar>
              <w:top w:w="80" w:type="dxa"/>
              <w:bottom w:w="80" w:type="dxa"/>
            </w:tcMar>
          </w:tcPr>
          <w:p>
            <w:pPr>
              <w:spacing w:after="0" w:line="240" w:lineRule="auto"/>
            </w:pPr>
            <w:r>
              <w:rPr>
                <w:rFonts w:ascii="Arial" w:hAnsi="Arial"/>
                <w:b w:val="0"/>
                <w:color w:val="1F2933"/>
                <w:sz w:val="18"/>
              </w:rPr>
              <w:t>Referencia de procedencia; sin identidad ni estudios del donante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/api/v1/donations/{identifier}</w:t>
            </w:r>
          </w:p>
        </w:tc>
        <w:tc>
          <w:tcPr>
            <w:tcW w:type="dxa" w:w="3987"/>
            <w:shd w:fill="FFFFFF"/>
            <w:tcMar>
              <w:top w:w="80" w:type="dxa"/>
              <w:bottom w:w="80" w:type="dxa"/>
            </w:tcMar>
          </w:tcPr>
          <w:p>
            <w:pPr>
              <w:spacing w:after="0" w:line="240" w:lineRule="auto"/>
            </w:pPr>
            <w:r>
              <w:rPr>
                <w:rFonts w:ascii="Arial" w:hAnsi="Arial"/>
                <w:b w:val="0"/>
                <w:color w:val="1F2933"/>
                <w:sz w:val="18"/>
              </w:rPr>
              <w:t>Donación y pasos de procesamiento institucionales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/api/v1/donations/{identifier}</w:t>
            </w:r>
          </w:p>
        </w:tc>
        <w:tc>
          <w:tcPr>
            <w:tcW w:type="dxa" w:w="3987"/>
            <w:shd w:fill="FFFFFF"/>
            <w:tcMar>
              <w:top w:w="80" w:type="dxa"/>
              <w:bottom w:w="80" w:type="dxa"/>
            </w:tcMar>
          </w:tcPr>
          <w:p>
            <w:pPr>
              <w:spacing w:after="0" w:line="240" w:lineRule="auto"/>
            </w:pPr>
            <w:r>
              <w:rPr>
                <w:rFonts w:ascii="Arial" w:hAnsi="Arial"/>
                <w:b w:val="0"/>
                <w:color w:val="1F2933"/>
                <w:sz w:val="18"/>
              </w:rPr>
              <w:t>Corregir fecha antes de procesamiento, conservando motivo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/api/v1/summary</w:t>
            </w:r>
          </w:p>
        </w:tc>
        <w:tc>
          <w:tcPr>
            <w:tcW w:type="dxa" w:w="3987"/>
            <w:shd w:fill="FFFFFF"/>
            <w:tcMar>
              <w:top w:w="80" w:type="dxa"/>
              <w:bottom w:w="80" w:type="dxa"/>
            </w:tcMar>
          </w:tcPr>
          <w:p>
            <w:pPr>
              <w:spacing w:after="0" w:line="240" w:lineRule="auto"/>
            </w:pPr>
            <w:r>
              <w:rPr>
                <w:rFonts w:ascii="Arial" w:hAnsi="Arial"/>
                <w:b w:val="0"/>
                <w:color w:val="1F2933"/>
                <w:sz w:val="18"/>
              </w:rPr>
              <w:t>Indicadores agregados autorizados; no expone expedientes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/api/v1/campaigns/{identifier}</w:t>
            </w:r>
          </w:p>
        </w:tc>
        <w:tc>
          <w:tcPr>
            <w:tcW w:type="dxa" w:w="3987"/>
            <w:shd w:fill="FFFFFF"/>
            <w:tcMar>
              <w:top w:w="80" w:type="dxa"/>
              <w:bottom w:w="80" w:type="dxa"/>
            </w:tcMar>
          </w:tcPr>
          <w:p>
            <w:pPr>
              <w:spacing w:after="0" w:line="240" w:lineRule="auto"/>
            </w:pPr>
            <w:r>
              <w:rPr>
                <w:rFonts w:ascii="Arial" w:hAnsi="Arial"/>
                <w:b w:val="0"/>
                <w:color w:val="1F2933"/>
                <w:sz w:val="18"/>
              </w:rPr>
              <w:t>Detalle de campaña institucional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/api/v1/campaigns/{identifier}</w:t>
            </w:r>
          </w:p>
        </w:tc>
        <w:tc>
          <w:tcPr>
            <w:tcW w:type="dxa" w:w="3987"/>
            <w:shd w:fill="FFFFFF"/>
            <w:tcMar>
              <w:top w:w="80" w:type="dxa"/>
              <w:bottom w:w="80" w:type="dxa"/>
            </w:tcMar>
          </w:tcPr>
          <w:p>
            <w:pPr>
              <w:spacing w:after="0" w:line="240" w:lineRule="auto"/>
            </w:pPr>
            <w:r>
              <w:rPr>
                <w:rFonts w:ascii="Arial" w:hAnsi="Arial"/>
                <w:b w:val="0"/>
                <w:color w:val="1F2933"/>
                <w:sz w:val="18"/>
              </w:rPr>
              <w:t>Editar campaña sin reducir cupos ya ocupados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16" w:name="report_section_16"/>
      <w:r>
        <w:t>13.3. Receptores y solicitudes</w:t>
      </w:r>
      <w:bookmarkEnd w:id="16"/>
    </w:p>
    <w:p>
      <w:r>
        <w:t>Administra expedientes de receptores y el ciclo de vida y cobertura de solicitudes.</w:t>
      </w:r>
    </w:p>
    <w:p>
      <w:r>
        <w:rPr>
          <w:b/>
          <w:i w:val="0"/>
        </w:rPr>
        <w:t>Justificación y proceso:</w:t>
      </w:r>
      <w:r>
        <w:t xml:space="preserve"> Una solicitud de una unidad retiene un cupo antes de que Inventario reserve el recurso. Dos peticiones concurrentes no pueden cubrir dos veces ese cupo.</w:t>
      </w:r>
    </w:p>
    <w:p>
      <w:r>
        <w:rPr>
          <w:b/>
          <w:i w:val="0"/>
        </w:rPr>
        <w:t>Integración declarada:</w:t>
      </w:r>
      <w:r>
        <w:t xml:space="preserve"> puede invocar contratos internos de alertas, auditoria; acepta llamadas firmadas de compatibilidad, inventario.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receptores, solicitudes y retenciones de capacidad; Redis valida sesión y permisos. Auditoría/alertas reciben eventos durables.</w:t>
      </w:r>
    </w:p>
    <w:p>
      <w:r>
        <w:rPr>
          <w:b/>
          <w:i w:val="0"/>
        </w:rPr>
        <w:t>Ámbito SQL:</w:t>
      </w:r>
      <w:r>
        <w:t xml:space="preserve"> </w:t>
      </w:r>
      <w:r>
        <w:rPr>
          <w:b w:val="0"/>
          <w:i w:val="0"/>
        </w:rPr>
        <w:t>access_receptores</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holds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red_house.request_hold</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recipients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red_house.recipient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requests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red_house.blood_request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receptores-a/b</w:t>
      </w:r>
      <w:r>
        <w:t xml:space="preserve">, gateway </w:t>
      </w:r>
      <w:r>
        <w:rPr>
          <w:b w:val="0"/>
          <w:i w:val="0"/>
        </w:rPr>
        <w:t>http://127.0.0.1:6103</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/api/v1/recipients</w:t>
            </w:r>
          </w:p>
        </w:tc>
        <w:tc>
          <w:tcPr>
            <w:tcW w:type="dxa" w:w="3987"/>
            <w:shd w:fill="FFFFFF"/>
            <w:tcMar>
              <w:top w:w="80" w:type="dxa"/>
              <w:bottom w:w="80" w:type="dxa"/>
            </w:tcMar>
          </w:tcPr>
          <w:p>
            <w:pPr>
              <w:spacing w:after="0" w:line="240" w:lineRule="auto"/>
            </w:pPr>
            <w:r>
              <w:rPr>
                <w:rFonts w:ascii="Arial" w:hAnsi="Arial"/>
                <w:b w:val="0"/>
                <w:color w:val="1F2933"/>
                <w:sz w:val="18"/>
              </w:rPr>
              <w:t>Expediente diferenciado de sangre u órgano</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/api/v1/recipients</w:t>
            </w:r>
          </w:p>
        </w:tc>
        <w:tc>
          <w:tcPr>
            <w:tcW w:type="dxa" w:w="3987"/>
            <w:shd w:fill="FFFFFF"/>
            <w:tcMar>
              <w:top w:w="80" w:type="dxa"/>
              <w:bottom w:w="80" w:type="dxa"/>
            </w:tcMar>
          </w:tcPr>
          <w:p>
            <w:pPr>
              <w:spacing w:after="0" w:line="240" w:lineRule="auto"/>
            </w:pPr>
            <w:r>
              <w:rPr>
                <w:rFonts w:ascii="Arial" w:hAnsi="Arial"/>
                <w:b w:val="0"/>
                <w:color w:val="1F2933"/>
                <w:sz w:val="18"/>
              </w:rPr>
              <w:t>Expedientes de la propia institución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/api/v1/recipients/{identifier}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expediente clínico autorizado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/api/v1/recipients/{identifier}</w:t>
            </w:r>
          </w:p>
        </w:tc>
        <w:tc>
          <w:tcPr>
            <w:tcW w:type="dxa" w:w="3987"/>
            <w:shd w:fill="FFFFFF"/>
            <w:tcMar>
              <w:top w:w="80" w:type="dxa"/>
              <w:bottom w:w="80" w:type="dxa"/>
            </w:tcMar>
          </w:tcPr>
          <w:p>
            <w:pPr>
              <w:spacing w:after="0" w:line="240" w:lineRule="auto"/>
            </w:pPr>
            <w:r>
              <w:rPr>
                <w:rFonts w:ascii="Arial" w:hAnsi="Arial"/>
                <w:b w:val="0"/>
                <w:color w:val="1F2933"/>
                <w:sz w:val="18"/>
              </w:rPr>
              <w:t>Corregir receptor antes de registrar solicitudes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/api/v1/requests</w:t>
            </w:r>
          </w:p>
        </w:tc>
        <w:tc>
          <w:tcPr>
            <w:tcW w:type="dxa" w:w="3987"/>
            <w:shd w:fill="FFFFFF"/>
            <w:tcMar>
              <w:top w:w="80" w:type="dxa"/>
              <w:bottom w:w="80" w:type="dxa"/>
            </w:tcMar>
          </w:tcPr>
          <w:p>
            <w:pPr>
              <w:spacing w:after="0" w:line="240" w:lineRule="auto"/>
            </w:pPr>
            <w:r>
              <w:rPr>
                <w:rFonts w:ascii="Arial" w:hAnsi="Arial"/>
                <w:b w:val="0"/>
                <w:color w:val="1F2933"/>
                <w:sz w:val="18"/>
              </w:rPr>
              <w:t>Solicitud humana de recursos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/api/v1/requests</w:t>
            </w:r>
          </w:p>
        </w:tc>
        <w:tc>
          <w:tcPr>
            <w:tcW w:type="dxa" w:w="3987"/>
            <w:shd w:fill="FFFFFF"/>
            <w:tcMar>
              <w:top w:w="80" w:type="dxa"/>
              <w:bottom w:w="80" w:type="dxa"/>
            </w:tcMar>
          </w:tcPr>
          <w:p>
            <w:pPr>
              <w:spacing w:after="0" w:line="240" w:lineRule="auto"/>
            </w:pPr>
            <w:r>
              <w:rPr>
                <w:rFonts w:ascii="Arial" w:hAnsi="Arial"/>
                <w:b w:val="0"/>
                <w:color w:val="1F2933"/>
                <w:sz w:val="18"/>
              </w:rPr>
              <w:t>Solicitudes institucionales y cobertura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/api/v1/requests/{identifier}</w:t>
            </w:r>
          </w:p>
        </w:tc>
        <w:tc>
          <w:tcPr>
            <w:tcW w:type="dxa" w:w="3987"/>
            <w:shd w:fill="FFFFFF"/>
            <w:tcMar>
              <w:top w:w="80" w:type="dxa"/>
              <w:bottom w:w="80" w:type="dxa"/>
            </w:tcMar>
          </w:tcPr>
          <w:p>
            <w:pPr>
              <w:spacing w:after="0" w:line="240" w:lineRule="auto"/>
            </w:pPr>
            <w:r>
              <w:rPr>
                <w:rFonts w:ascii="Arial" w:hAnsi="Arial"/>
                <w:b w:val="0"/>
                <w:color w:val="1F2933"/>
                <w:sz w:val="18"/>
              </w:rPr>
              <w:t>Solicitud y reservas pendientes/confirmadas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/api/v1/requests/{identifier}</w:t>
            </w:r>
          </w:p>
        </w:tc>
        <w:tc>
          <w:tcPr>
            <w:tcW w:type="dxa" w:w="3987"/>
            <w:shd w:fill="FFFFFF"/>
            <w:tcMar>
              <w:top w:w="80" w:type="dxa"/>
              <w:bottom w:w="80" w:type="dxa"/>
            </w:tcMar>
          </w:tcPr>
          <w:p>
            <w:pPr>
              <w:spacing w:after="0" w:line="240" w:lineRule="auto"/>
            </w:pPr>
            <w:r>
              <w:rPr>
                <w:rFonts w:ascii="Arial" w:hAnsi="Arial"/>
                <w:b w:val="0"/>
                <w:color w:val="1F2933"/>
                <w:sz w:val="18"/>
              </w:rPr>
              <w:t>Editar solicitud abierta sin retenciones, invalidando evaluaciones anteriores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/api/v1/requests/{identifier}/cancel</w:t>
            </w:r>
          </w:p>
        </w:tc>
        <w:tc>
          <w:tcPr>
            <w:tcW w:type="dxa" w:w="3987"/>
            <w:shd w:fill="FFFFFF"/>
            <w:tcMar>
              <w:top w:w="80" w:type="dxa"/>
              <w:bottom w:w="80" w:type="dxa"/>
            </w:tcMar>
          </w:tcPr>
          <w:p>
            <w:pPr>
              <w:spacing w:after="0" w:line="240" w:lineRule="auto"/>
            </w:pPr>
            <w:r>
              <w:rPr>
                <w:rFonts w:ascii="Arial" w:hAnsi="Arial"/>
                <w:b w:val="0"/>
                <w:color w:val="1F2933"/>
                <w:sz w:val="18"/>
              </w:rPr>
              <w:t>Cancelar únicamente sin reservas pendientes o físicas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/internal/v1/requests/{identifier}</w:t>
            </w:r>
          </w:p>
        </w:tc>
        <w:tc>
          <w:tcPr>
            <w:tcW w:type="dxa" w:w="3987"/>
            <w:shd w:fill="FFFFFF"/>
            <w:tcMar>
              <w:top w:w="80" w:type="dxa"/>
              <w:bottom w:w="80" w:type="dxa"/>
            </w:tcMar>
          </w:tcPr>
          <w:p>
            <w:pPr>
              <w:spacing w:after="0" w:line="240" w:lineRule="auto"/>
            </w:pPr>
            <w:r>
              <w:rPr>
                <w:rFonts w:ascii="Arial" w:hAnsi="Arial"/>
                <w:b w:val="0"/>
                <w:color w:val="1F2933"/>
                <w:sz w:val="18"/>
              </w:rPr>
              <w:t>Instantánea mínima para compatibilidad y reserva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/internal/v1/holds</w:t>
            </w:r>
          </w:p>
        </w:tc>
        <w:tc>
          <w:tcPr>
            <w:tcW w:type="dxa" w:w="3987"/>
            <w:shd w:fill="FFFFFF"/>
            <w:tcMar>
              <w:top w:w="80" w:type="dxa"/>
              <w:bottom w:w="80" w:type="dxa"/>
            </w:tcMar>
          </w:tcPr>
          <w:p>
            <w:pPr>
              <w:spacing w:after="0" w:line="240" w:lineRule="auto"/>
            </w:pPr>
            <w:r>
              <w:rPr>
                <w:rFonts w:ascii="Arial" w:hAnsi="Arial"/>
                <w:b w:val="0"/>
                <w:color w:val="1F2933"/>
                <w:sz w:val="18"/>
              </w:rPr>
              <w:t>Retener capacidad; serializar solicitud y receptor</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/internal/v1/holds/{identifier}</w:t>
            </w:r>
          </w:p>
        </w:tc>
        <w:tc>
          <w:tcPr>
            <w:tcW w:type="dxa" w:w="3987"/>
            <w:shd w:fill="FFFFFF"/>
            <w:tcMar>
              <w:top w:w="80" w:type="dxa"/>
              <w:bottom w:w="80" w:type="dxa"/>
            </w:tcMar>
          </w:tcPr>
          <w:p>
            <w:pPr>
              <w:spacing w:after="0" w:line="240" w:lineRule="auto"/>
            </w:pPr>
            <w:r>
              <w:rPr>
                <w:rFonts w:ascii="Arial" w:hAnsi="Arial"/>
                <w:b w:val="0"/>
                <w:color w:val="1F2933"/>
                <w:sz w:val="18"/>
              </w:rPr>
              <w:t>Confirmar, liberar o recibir retención de forma idempotente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/internal/v1/holds-by-operation/{identifier}</w:t>
            </w:r>
          </w:p>
        </w:tc>
        <w:tc>
          <w:tcPr>
            <w:tcW w:type="dxa" w:w="3987"/>
            <w:shd w:fill="FFFFFF"/>
            <w:tcMar>
              <w:top w:w="80" w:type="dxa"/>
              <w:bottom w:w="80" w:type="dxa"/>
            </w:tcMar>
          </w:tcPr>
          <w:p>
            <w:pPr>
              <w:spacing w:after="0" w:line="240" w:lineRule="auto"/>
            </w:pPr>
            <w:r>
              <w:rPr>
                <w:rFonts w:ascii="Arial" w:hAnsi="Arial"/>
                <w:b w:val="0"/>
                <w:color w:val="1F2933"/>
                <w:sz w:val="18"/>
              </w:rPr>
              <w:t>Localizar retención tras perder una respuesta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/internal/v1/events</w:t>
            </w:r>
          </w:p>
        </w:tc>
        <w:tc>
          <w:tcPr>
            <w:tcW w:type="dxa" w:w="3987"/>
            <w:shd w:fill="FFFFFF"/>
            <w:tcMar>
              <w:top w:w="80" w:type="dxa"/>
              <w:bottom w:w="80" w:type="dxa"/>
            </w:tcMar>
          </w:tcPr>
          <w:p>
            <w:pPr>
              <w:spacing w:after="0" w:line="240" w:lineRule="auto"/>
            </w:pPr>
            <w:r>
              <w:rPr>
                <w:rFonts w:ascii="Arial" w:hAnsi="Arial"/>
                <w:b w:val="0"/>
                <w:color w:val="1F2933"/>
                <w:sz w:val="18"/>
              </w:rPr>
              <w:t>Recibir recepción o liberación sin duplicados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/api/v1/summary</w:t>
            </w:r>
          </w:p>
        </w:tc>
        <w:tc>
          <w:tcPr>
            <w:tcW w:type="dxa" w:w="3987"/>
            <w:shd w:fill="FFFFFF"/>
            <w:tcMar>
              <w:top w:w="80" w:type="dxa"/>
              <w:bottom w:w="80" w:type="dxa"/>
            </w:tcMar>
          </w:tcPr>
          <w:p>
            <w:pPr>
              <w:spacing w:after="0" w:line="240" w:lineRule="auto"/>
            </w:pPr>
            <w:r>
              <w:rPr>
                <w:rFonts w:ascii="Arial" w:hAnsi="Arial"/>
                <w:b w:val="0"/>
                <w:color w:val="1F2933"/>
                <w:sz w:val="18"/>
              </w:rPr>
              <w:t>Indicadores agregados autorizados; no expone expedientes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17" w:name="report_section_17"/>
      <w:r>
        <w:t>13.4. Inventario y reservas</w:t>
      </w:r>
      <w:bookmarkEnd w:id="17"/>
    </w:p>
    <w:p>
      <w:r>
        <w:t>Mantiene unidades de sangre y ofertas de órganos, su disponibilidad, reservas y ubicación institucional.</w:t>
      </w:r>
    </w:p>
    <w:p>
      <w:r>
        <w:rPr>
          <w:b/>
          <w:i w:val="0"/>
        </w:rPr>
        <w:t>Justificación y proceso:</w:t>
      </w:r>
      <w:r>
        <w:t xml:space="preserve"> El origen registra y libera un recurso; el destino lo reserva con evaluación y dictamen favorable; tras recepción queda registrado en la institución de destino.</w:t>
      </w:r>
    </w:p>
    <w:p>
      <w:r>
        <w:rPr>
          <w:b/>
          <w:i w:val="0"/>
        </w:rPr>
        <w:t>Integración declarada:</w:t>
      </w:r>
      <w:r>
        <w:t xml:space="preserve"> puede invocar contratos internos de alertas, auditoria, compatibilidad, donantes, identidad_acceso, priorizacion_geografia, receptores; acepta llamadas firmadas de compatibilidad,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es autoridad de recursos, movimientos y operaciones. Redis ofrece caché breve de disponibilidad y seguridad; una reserva siempre reconsulta PostgreSQL.</w:t>
      </w:r>
    </w:p>
    <w:p>
      <w:r>
        <w:rPr>
          <w:b/>
          <w:i w:val="0"/>
        </w:rPr>
        <w:t>Ámbito SQL:</w:t>
      </w:r>
      <w:r>
        <w:t xml:space="preserve"> </w:t>
      </w:r>
      <w:r>
        <w:rPr>
          <w:b w:val="0"/>
          <w:i w:val="0"/>
        </w:rPr>
        <w:t>access_inventario</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cache_revision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red_house.cache_revision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movements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red_house.blood_movement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operations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red_house.allocation_operation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reservations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red_house.blood_allocation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resource_reviews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red_house.resource_review</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resources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red_house.resource</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inventario-a/b</w:t>
      </w:r>
      <w:r>
        <w:t xml:space="preserve">, gateway </w:t>
      </w:r>
      <w:r>
        <w:rPr>
          <w:b w:val="0"/>
          <w:i w:val="0"/>
        </w:rPr>
        <w:t>http://127.0.0.1:6104</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w:t>
            </w:r>
          </w:p>
        </w:tc>
        <w:tc>
          <w:tcPr>
            <w:tcW w:type="dxa" w:w="3987"/>
            <w:shd w:fill="FFFFFF"/>
            <w:tcMar>
              <w:top w:w="80" w:type="dxa"/>
              <w:bottom w:w="80" w:type="dxa"/>
            </w:tcMar>
          </w:tcPr>
          <w:p>
            <w:pPr>
              <w:spacing w:after="0" w:line="240" w:lineRule="auto"/>
            </w:pPr>
            <w:r>
              <w:rPr>
                <w:rFonts w:ascii="Arial" w:hAnsi="Arial"/>
                <w:b w:val="0"/>
                <w:color w:val="1F2933"/>
                <w:sz w:val="18"/>
              </w:rPr>
              <w:t>Registrar unidad u oferta separada, inicialmente en cuarentena</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w:t>
            </w:r>
          </w:p>
        </w:tc>
        <w:tc>
          <w:tcPr>
            <w:tcW w:type="dxa" w:w="3987"/>
            <w:shd w:fill="FFFFFF"/>
            <w:tcMar>
              <w:top w:w="80" w:type="dxa"/>
              <w:bottom w:w="80" w:type="dxa"/>
            </w:tcMar>
          </w:tcPr>
          <w:p>
            <w:pPr>
              <w:spacing w:after="0" w:line="240" w:lineRule="auto"/>
            </w:pPr>
            <w:r>
              <w:rPr>
                <w:rFonts w:ascii="Arial" w:hAnsi="Arial"/>
                <w:b w:val="0"/>
                <w:color w:val="1F2933"/>
                <w:sz w:val="18"/>
              </w:rPr>
              <w:t>Inventario propio; coordinador recibe disponibilidad regional mínima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/api/v1/resources/{identifier}/release</w:t>
            </w:r>
          </w:p>
        </w:tc>
        <w:tc>
          <w:tcPr>
            <w:tcW w:type="dxa" w:w="3987"/>
            <w:shd w:fill="FFFFFF"/>
            <w:tcMar>
              <w:top w:w="80" w:type="dxa"/>
              <w:bottom w:w="80" w:type="dxa"/>
            </w:tcMar>
          </w:tcPr>
          <w:p>
            <w:pPr>
              <w:spacing w:after="0" w:line="240" w:lineRule="auto"/>
            </w:pPr>
            <w:r>
              <w:rPr>
                <w:rFonts w:ascii="Arial" w:hAnsi="Arial"/>
                <w:b w:val="0"/>
                <w:color w:val="1F2933"/>
                <w:sz w:val="18"/>
              </w:rPr>
              <w:t>Liberación humana documentada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/api/v1/availability</w:t>
            </w:r>
          </w:p>
        </w:tc>
        <w:tc>
          <w:tcPr>
            <w:tcW w:type="dxa" w:w="3987"/>
            <w:shd w:fill="FFFFFF"/>
            <w:tcMar>
              <w:top w:w="80" w:type="dxa"/>
              <w:bottom w:w="80" w:type="dxa"/>
            </w:tcMar>
          </w:tcPr>
          <w:p>
            <w:pPr>
              <w:spacing w:after="0" w:line="240" w:lineRule="auto"/>
            </w:pPr>
            <w:r>
              <w:rPr>
                <w:rFonts w:ascii="Arial" w:hAnsi="Arial"/>
                <w:b w:val="0"/>
                <w:color w:val="1F2933"/>
                <w:sz w:val="18"/>
              </w:rPr>
              <w:t>Disponibilidad regional minimizada con caché autorizada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/internal/v1/available-resources</w:t>
            </w:r>
          </w:p>
        </w:tc>
        <w:tc>
          <w:tcPr>
            <w:tcW w:type="dxa" w:w="3987"/>
            <w:shd w:fill="FFFFFF"/>
            <w:tcMar>
              <w:top w:w="80" w:type="dxa"/>
              <w:bottom w:w="80" w:type="dxa"/>
            </w:tcMar>
          </w:tcPr>
          <w:p>
            <w:pPr>
              <w:spacing w:after="0" w:line="240" w:lineRule="auto"/>
            </w:pPr>
            <w:r>
              <w:rPr>
                <w:rFonts w:ascii="Arial" w:hAnsi="Arial"/>
                <w:b w:val="0"/>
                <w:color w:val="1F2933"/>
                <w:sz w:val="18"/>
              </w:rPr>
              <w:t>Fuente autoritativa de candidatos; omite caché</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/api/v1/reservations</w:t>
            </w:r>
          </w:p>
        </w:tc>
        <w:tc>
          <w:tcPr>
            <w:tcW w:type="dxa" w:w="3987"/>
            <w:shd w:fill="FFFFFF"/>
            <w:tcMar>
              <w:top w:w="80" w:type="dxa"/>
              <w:bottom w:w="80" w:type="dxa"/>
            </w:tcMar>
          </w:tcPr>
          <w:p>
            <w:pPr>
              <w:spacing w:after="0" w:line="240" w:lineRule="auto"/>
            </w:pPr>
            <w:r>
              <w:rPr>
                <w:rFonts w:ascii="Arial" w:hAnsi="Arial"/>
                <w:b w:val="0"/>
                <w:color w:val="1F2933"/>
                <w:sz w:val="18"/>
              </w:rPr>
              <w:t>Reservar con retención de capacidad y seguimiento de operación</w:t>
            </w:r>
          </w:p>
        </w:tc>
        <w:tc>
          <w:tcPr>
            <w:tcW w:type="dxa" w:w="1840"/>
            <w:shd w:fill="FFFFFF"/>
            <w:tcMar>
              <w:top w:w="80" w:type="dxa"/>
              <w:bottom w:w="80" w:type="dxa"/>
            </w:tcMar>
          </w:tcPr>
          <w:p>
            <w:pPr>
              <w:spacing w:after="0" w:line="240" w:lineRule="auto"/>
            </w:pPr>
            <w:r>
              <w:rPr>
                <w:rFonts w:ascii="Arial" w:hAnsi="Arial"/>
                <w:b w:val="0"/>
                <w:color w:val="1F2933"/>
                <w:sz w:val="18"/>
              </w:rPr>
              <w:t>202, 400, 401, 403, 404, 406, 409, 413, 415, 422, 429, 500, 503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/api/v1/reservations</w:t>
            </w:r>
          </w:p>
        </w:tc>
        <w:tc>
          <w:tcPr>
            <w:tcW w:type="dxa" w:w="3987"/>
            <w:shd w:fill="FFFFFF"/>
            <w:tcMar>
              <w:top w:w="80" w:type="dxa"/>
              <w:bottom w:w="80" w:type="dxa"/>
            </w:tcMar>
          </w:tcPr>
          <w:p>
            <w:pPr>
              <w:spacing w:after="0" w:line="240" w:lineRule="auto"/>
            </w:pPr>
            <w:r>
              <w:rPr>
                <w:rFonts w:ascii="Arial" w:hAnsi="Arial"/>
                <w:b w:val="0"/>
                <w:color w:val="1F2933"/>
                <w:sz w:val="18"/>
              </w:rPr>
              <w:t>Reservas institucionales o regionales para coordinación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/api/v1/operations/{identifier}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resultado tras pérdida de respuesta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/api/v1/operations/{identifier}/resume</w:t>
            </w:r>
          </w:p>
        </w:tc>
        <w:tc>
          <w:tcPr>
            <w:tcW w:type="dxa" w:w="3987"/>
            <w:shd w:fill="FFFFFF"/>
            <w:tcMar>
              <w:top w:w="80" w:type="dxa"/>
              <w:bottom w:w="80" w:type="dxa"/>
            </w:tcMar>
          </w:tcPr>
          <w:p>
            <w:pPr>
              <w:spacing w:after="0" w:line="240" w:lineRule="auto"/>
            </w:pPr>
            <w:r>
              <w:rPr>
                <w:rFonts w:ascii="Arial" w:hAnsi="Arial"/>
                <w:b w:val="0"/>
                <w:color w:val="1F2933"/>
                <w:sz w:val="18"/>
              </w:rPr>
              <w:t>Reanudar confirmación o compensación pendiente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/api/v1/reservations/{identifier}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asignación autorizada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/api/v1/reservations/{identifier}/cancel</w:t>
            </w:r>
          </w:p>
        </w:tc>
        <w:tc>
          <w:tcPr>
            <w:tcW w:type="dxa" w:w="3987"/>
            <w:shd w:fill="FFFFFF"/>
            <w:tcMar>
              <w:top w:w="80" w:type="dxa"/>
              <w:bottom w:w="80" w:type="dxa"/>
            </w:tcMar>
          </w:tcPr>
          <w:p>
            <w:pPr>
              <w:spacing w:after="0" w:line="240" w:lineRule="auto"/>
            </w:pPr>
            <w:r>
              <w:rPr>
                <w:rFonts w:ascii="Arial" w:hAnsi="Arial"/>
                <w:b w:val="0"/>
                <w:color w:val="1F2933"/>
                <w:sz w:val="18"/>
              </w:rPr>
              <w:t>Liberar reserva antes de programar un traslado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/internal/v1/reservations/{identifier}</w:t>
            </w:r>
          </w:p>
        </w:tc>
        <w:tc>
          <w:tcPr>
            <w:tcW w:type="dxa" w:w="3987"/>
            <w:shd w:fill="FFFFFF"/>
            <w:tcMar>
              <w:top w:w="80" w:type="dxa"/>
              <w:bottom w:w="80" w:type="dxa"/>
            </w:tcMar>
          </w:tcPr>
          <w:p>
            <w:pPr>
              <w:spacing w:after="0" w:line="240" w:lineRule="auto"/>
            </w:pPr>
            <w:r>
              <w:rPr>
                <w:rFonts w:ascii="Arial" w:hAnsi="Arial"/>
                <w:b w:val="0"/>
                <w:color w:val="1F2933"/>
                <w:sz w:val="18"/>
              </w:rPr>
              <w:t>Datos mínimos para planear traslado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/internal/v1/reservations/{identifier}/claim</w:t>
            </w:r>
          </w:p>
        </w:tc>
        <w:tc>
          <w:tcPr>
            <w:tcW w:type="dxa" w:w="3987"/>
            <w:shd w:fill="FFFFFF"/>
            <w:tcMar>
              <w:top w:w="80" w:type="dxa"/>
              <w:bottom w:w="80" w:type="dxa"/>
            </w:tcMar>
          </w:tcPr>
          <w:p>
            <w:pPr>
              <w:spacing w:after="0" w:line="240" w:lineRule="auto"/>
            </w:pPr>
            <w:r>
              <w:rPr>
                <w:rFonts w:ascii="Arial" w:hAnsi="Arial"/>
                <w:b w:val="0"/>
                <w:color w:val="1F2933"/>
                <w:sz w:val="18"/>
              </w:rPr>
              <w:t>Vincular traslado durable antes de permitir recolección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/internal/v1/events</w:t>
            </w:r>
          </w:p>
        </w:tc>
        <w:tc>
          <w:tcPr>
            <w:tcW w:type="dxa" w:w="3987"/>
            <w:shd w:fill="FFFFFF"/>
            <w:tcMar>
              <w:top w:w="80" w:type="dxa"/>
              <w:bottom w:w="80" w:type="dxa"/>
            </w:tcMar>
          </w:tcPr>
          <w:p>
            <w:pPr>
              <w:spacing w:after="0" w:line="240" w:lineRule="auto"/>
            </w:pPr>
            <w:r>
              <w:rPr>
                <w:rFonts w:ascii="Arial" w:hAnsi="Arial"/>
                <w:b w:val="0"/>
                <w:color w:val="1F2933"/>
                <w:sz w:val="18"/>
              </w:rPr>
              <w:t>Aplicar hechos logísticos en orden y sin duplicación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/api/v1/resources/{identifier}</w:t>
            </w:r>
          </w:p>
        </w:tc>
        <w:tc>
          <w:tcPr>
            <w:tcW w:type="dxa" w:w="3987"/>
            <w:shd w:fill="FFFFFF"/>
            <w:tcMar>
              <w:top w:w="80" w:type="dxa"/>
              <w:bottom w:w="80" w:type="dxa"/>
            </w:tcMar>
          </w:tcPr>
          <w:p>
            <w:pPr>
              <w:spacing w:after="0" w:line="240" w:lineRule="auto"/>
            </w:pPr>
            <w:r>
              <w:rPr>
                <w:rFonts w:ascii="Arial" w:hAnsi="Arial"/>
                <w:b w:val="0"/>
                <w:color w:val="1F2933"/>
                <w:sz w:val="18"/>
              </w:rPr>
              <w:t>Recurso y movimientos; sin identidad del donante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/api/v1/resources/{identifier}</w:t>
            </w:r>
          </w:p>
        </w:tc>
        <w:tc>
          <w:tcPr>
            <w:tcW w:type="dxa" w:w="3987"/>
            <w:shd w:fill="FFFFFF"/>
            <w:tcMar>
              <w:top w:w="80" w:type="dxa"/>
              <w:bottom w:w="80" w:type="dxa"/>
            </w:tcMar>
          </w:tcPr>
          <w:p>
            <w:pPr>
              <w:spacing w:after="0" w:line="240" w:lineRule="auto"/>
            </w:pPr>
            <w:r>
              <w:rPr>
                <w:rFonts w:ascii="Arial" w:hAnsi="Arial"/>
                <w:b w:val="0"/>
                <w:color w:val="1F2933"/>
                <w:sz w:val="18"/>
              </w:rPr>
              <w:t>Corregir unidad antes de liberación clínica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/api/v1/summary</w:t>
            </w:r>
          </w:p>
        </w:tc>
        <w:tc>
          <w:tcPr>
            <w:tcW w:type="dxa" w:w="3987"/>
            <w:shd w:fill="FFFFFF"/>
            <w:tcMar>
              <w:top w:w="80" w:type="dxa"/>
              <w:bottom w:w="80" w:type="dxa"/>
            </w:tcMar>
          </w:tcPr>
          <w:p>
            <w:pPr>
              <w:spacing w:after="0" w:line="240" w:lineRule="auto"/>
            </w:pPr>
            <w:r>
              <w:rPr>
                <w:rFonts w:ascii="Arial" w:hAnsi="Arial"/>
                <w:b w:val="0"/>
                <w:color w:val="1F2933"/>
                <w:sz w:val="18"/>
              </w:rPr>
              <w:t>Indicadores agregados autorizados; no expone expedientes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/api/v1/resources/{identifier}/withdraw</w:t>
            </w:r>
          </w:p>
        </w:tc>
        <w:tc>
          <w:tcPr>
            <w:tcW w:type="dxa" w:w="3987"/>
            <w:shd w:fill="FFFFFF"/>
            <w:tcMar>
              <w:top w:w="80" w:type="dxa"/>
              <w:bottom w:w="80" w:type="dxa"/>
            </w:tcMar>
          </w:tcPr>
          <w:p>
            <w:pPr>
              <w:spacing w:after="0" w:line="240" w:lineRule="auto"/>
            </w:pPr>
            <w:r>
              <w:rPr>
                <w:rFonts w:ascii="Arial" w:hAnsi="Arial"/>
                <w:b w:val="0"/>
                <w:color w:val="1F2933"/>
                <w:sz w:val="18"/>
              </w:rPr>
              <w:t>Baja lógica sin reservas ni traslado; conserva historial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18" w:name="report_section_18"/>
      <w:r>
        <w:t>13.5. Compatibilidad</w:t>
      </w:r>
      <w:bookmarkEnd w:id="18"/>
    </w:p>
    <w:p>
      <w:r>
        <w:t>Genera candidatos explicables y conserva evaluaciones y dictámenes humanos.</w:t>
      </w:r>
    </w:p>
    <w:p>
      <w:r>
        <w:rPr>
          <w:b/>
          <w:i w:val="0"/>
        </w:rPr>
        <w:t>Justificación y proceso:</w:t>
      </w:r>
      <w:r>
        <w:t xml:space="preserve"> Para RBC se aplica el filtro ABO/RhD ya documentado. Para órgano se preselecciona mismo tipo y ABO idéntico, sin interpretar HLA.</w:t>
      </w:r>
    </w:p>
    <w:p>
      <w:r>
        <w:rPr>
          <w:b/>
          <w:i w:val="0"/>
        </w:rPr>
        <w:t>Integración declarada:</w:t>
      </w:r>
      <w:r>
        <w:t xml:space="preserve"> puede invocar contratos internos de auditoria, inventario, priorizacion_geografia, receptores; acepta llamadas firmadas de inventario, priorizacion_geografia.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instantáneas, versiones, candidatos y revisión. Flask consulta propietarios por HTTP; Redis valida JWT y permisos.</w:t>
      </w:r>
    </w:p>
    <w:p>
      <w:r>
        <w:rPr>
          <w:b/>
          <w:i w:val="0"/>
        </w:rPr>
        <w:t>Ámbito SQL:</w:t>
      </w:r>
      <w:r>
        <w:t xml:space="preserve"> </w:t>
      </w:r>
      <w:r>
        <w:rPr>
          <w:b w:val="0"/>
          <w:i w:val="0"/>
        </w:rPr>
        <w:t>access_compatibilidad</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evaluations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red_house.candidate_evaluation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reviews</w:t>
            </w:r>
          </w:p>
        </w:tc>
        <w:tc>
          <w:tcPr>
            <w:tcW w:type="dxa" w:w="5112"/>
            <w:shd w:fill="FFFFFF"/>
            <w:tcMar>
              <w:top w:w="80" w:type="dxa"/>
              <w:bottom w:w="80" w:type="dxa"/>
            </w:tcMar>
          </w:tcPr>
          <w:p>
            <w:pPr>
              <w:spacing w:after="0" w:line="240" w:lineRule="auto"/>
            </w:pPr>
            <w:r>
              <w:rPr>
                <w:rFonts w:ascii="Arial" w:hAnsi="Arial"/>
                <w:b w:val="0"/>
                <w:i w:val="0"/>
                <w:color w:val="1F2933"/>
                <w:sz w:val="18"/>
              </w:rPr>
              <w:t>red_house.blood_review</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compatibilidad-a/b</w:t>
      </w:r>
      <w:r>
        <w:t xml:space="preserve">, gateway </w:t>
      </w:r>
      <w:r>
        <w:rPr>
          <w:b w:val="0"/>
          <w:i w:val="0"/>
        </w:rPr>
        <w:t>http://127.0.0.1:6105</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/api/v1/evaluations</w:t>
            </w:r>
          </w:p>
        </w:tc>
        <w:tc>
          <w:tcPr>
            <w:tcW w:type="dxa" w:w="3987"/>
            <w:shd w:fill="FFFFFF"/>
            <w:tcMar>
              <w:top w:w="80" w:type="dxa"/>
              <w:bottom w:w="80" w:type="dxa"/>
            </w:tcMar>
          </w:tcPr>
          <w:p>
            <w:pPr>
              <w:spacing w:after="0" w:line="240" w:lineRule="auto"/>
            </w:pPr>
            <w:r>
              <w:rPr>
                <w:rFonts w:ascii="Arial" w:hAnsi="Arial"/>
                <w:b w:val="0"/>
                <w:color w:val="1F2933"/>
                <w:sz w:val="18"/>
              </w:rPr>
              <w:t>Preselección ilustrativa con datos y reglas versionados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/api/v1/evaluations</w:t>
            </w:r>
          </w:p>
        </w:tc>
        <w:tc>
          <w:tcPr>
            <w:tcW w:type="dxa" w:w="3987"/>
            <w:shd w:fill="FFFFFF"/>
            <w:tcMar>
              <w:top w:w="80" w:type="dxa"/>
              <w:bottom w:w="80" w:type="dxa"/>
            </w:tcMar>
          </w:tcPr>
          <w:p>
            <w:pPr>
              <w:spacing w:after="0" w:line="240" w:lineRule="auto"/>
            </w:pPr>
            <w:r>
              <w:rPr>
                <w:rFonts w:ascii="Arial" w:hAnsi="Arial"/>
                <w:b w:val="0"/>
                <w:color w:val="1F2933"/>
                <w:sz w:val="18"/>
              </w:rPr>
              <w:t>Historial institucional de evaluaciones y versiones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/api/v1/evaluations/{identifier}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evaluación, explicación y dictámenes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/api/v1/evaluations/{identifier}/reviews</w:t>
            </w:r>
          </w:p>
        </w:tc>
        <w:tc>
          <w:tcPr>
            <w:tcW w:type="dxa" w:w="3987"/>
            <w:shd w:fill="FFFFFF"/>
            <w:tcMar>
              <w:top w:w="80" w:type="dxa"/>
              <w:bottom w:w="80" w:type="dxa"/>
            </w:tcMar>
          </w:tcPr>
          <w:p>
            <w:pPr>
              <w:spacing w:after="0" w:line="240" w:lineRule="auto"/>
            </w:pPr>
            <w:r>
              <w:rPr>
                <w:rFonts w:ascii="Arial" w:hAnsi="Arial"/>
                <w:b w:val="0"/>
                <w:color w:val="1F2933"/>
                <w:sz w:val="18"/>
              </w:rPr>
              <w:t>Registrar dictamen humano inmutable de un candidato</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/internal/v1/evaluations/{identifier}</w:t>
            </w:r>
          </w:p>
        </w:tc>
        <w:tc>
          <w:tcPr>
            <w:tcW w:type="dxa" w:w="3987"/>
            <w:shd w:fill="FFFFFF"/>
            <w:tcMar>
              <w:top w:w="80" w:type="dxa"/>
              <w:bottom w:w="80" w:type="dxa"/>
            </w:tcMar>
          </w:tcPr>
          <w:p>
            <w:pPr>
              <w:spacing w:after="0" w:line="240" w:lineRule="auto"/>
            </w:pPr>
            <w:r>
              <w:rPr>
                <w:rFonts w:ascii="Arial" w:hAnsi="Arial"/>
                <w:b w:val="0"/>
                <w:color w:val="1F2933"/>
                <w:sz w:val="18"/>
              </w:rPr>
              <w:t>Instantánea y dictámenes para reservar o priorizar</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19" w:name="report_section_19"/>
      <w:r>
        <w:t>13.6. Priorización y geografía</w:t>
      </w:r>
      <w:bookmarkEnd w:id="19"/>
    </w:p>
    <w:p>
      <w:r>
        <w:t>Mantiene estimaciones de rutas, ranking operativo y propuestas de cobertura máxima.</w:t>
      </w:r>
    </w:p>
    <w:p>
      <w:r>
        <w:rPr>
          <w:b/>
          <w:i w:val="0"/>
        </w:rPr>
        <w:t>Justificación y proceso:</w:t>
      </w:r>
      <w:r>
        <w:t xml:space="preserve"> Si un paciente admite A o B y otro solo A, un recorrido voraz puede dejar uno sin propuesta. Un camino aumentante permite proponer B al flexible y A al restringido.</w:t>
      </w:r>
    </w:p>
    <w:p>
      <w:r>
        <w:rPr>
          <w:b/>
          <w:i w:val="0"/>
        </w:rPr>
        <w:t>Integración declarada:</w:t>
      </w:r>
      <w:r>
        <w:t xml:space="preserve"> puede invocar contratos internos de auditoria, compatibilidad, identidad_acceso; acepta llamadas firmadas de compatibilidad, inventario,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rutas versionadas, factores, rankings y propuestas. Python ejecuta ordenamiento y matching bipartito Hopcroft–Karp. Redis aplica seguridad.</w:t>
      </w:r>
    </w:p>
    <w:p>
      <w:r>
        <w:rPr>
          <w:b/>
          <w:i w:val="0"/>
        </w:rPr>
        <w:t>Ámbito SQL:</w:t>
      </w:r>
      <w:r>
        <w:t xml:space="preserve"> </w:t>
      </w:r>
      <w:r>
        <w:rPr>
          <w:b w:val="0"/>
          <w:i w:val="0"/>
        </w:rPr>
        <w:t>access_priorizacion_geografia</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proposals</w:t>
            </w:r>
          </w:p>
        </w:tc>
        <w:tc>
          <w:tcPr>
            <w:tcW w:type="dxa" w:w="5112"/>
            <w:shd w:fill="FFFFFF"/>
            <w:tcMar>
              <w:top w:w="80" w:type="dxa"/>
              <w:bottom w:w="80" w:type="dxa"/>
            </w:tcMar>
          </w:tcPr>
          <w:p>
            <w:pPr>
              <w:spacing w:after="0" w:line="240" w:lineRule="auto"/>
            </w:pPr>
            <w:r>
              <w:rPr>
                <w:rFonts w:ascii="Arial" w:hAnsi="Arial"/>
                <w:b w:val="0"/>
                <w:i w:val="0"/>
                <w:color w:val="1F2933"/>
                <w:sz w:val="18"/>
              </w:rPr>
              <w:t>red_house.balance_proposal</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rankings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red_house.ranking_run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routes</w:t>
            </w:r>
          </w:p>
        </w:tc>
        <w:tc>
          <w:tcPr>
            <w:tcW w:type="dxa" w:w="5112"/>
            <w:shd w:fill="FFFFFF"/>
            <w:tcMar>
              <w:top w:w="80" w:type="dxa"/>
              <w:bottom w:w="80" w:type="dxa"/>
            </w:tcMar>
          </w:tcPr>
          <w:p>
            <w:pPr>
              <w:spacing w:after="0" w:line="240" w:lineRule="auto"/>
            </w:pPr>
            <w:r>
              <w:rPr>
                <w:rFonts w:ascii="Arial" w:hAnsi="Arial"/>
                <w:b w:val="0"/>
                <w:i w:val="0"/>
                <w:color w:val="1F2933"/>
                <w:sz w:val="18"/>
              </w:rPr>
              <w:t>red_house.regional_route</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priorizacion-geografia-a/b</w:t>
      </w:r>
      <w:r>
        <w:t xml:space="preserve">, gateway </w:t>
      </w:r>
      <w:r>
        <w:rPr>
          <w:b w:val="0"/>
          <w:i w:val="0"/>
        </w:rPr>
        <w:t>http://127.0.0.1:6106</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/api/v1/routes</w:t>
            </w:r>
          </w:p>
        </w:tc>
        <w:tc>
          <w:tcPr>
            <w:tcW w:type="dxa" w:w="3987"/>
            <w:shd w:fill="FFFFFF"/>
            <w:tcMar>
              <w:top w:w="80" w:type="dxa"/>
              <w:bottom w:w="80" w:type="dxa"/>
            </w:tcMar>
          </w:tcPr>
          <w:p>
            <w:pPr>
              <w:spacing w:after="0" w:line="240" w:lineRule="auto"/>
            </w:pPr>
            <w:r>
              <w:rPr>
                <w:rFonts w:ascii="Arial" w:hAnsi="Arial"/>
                <w:b w:val="0"/>
                <w:color w:val="1F2933"/>
                <w:sz w:val="18"/>
              </w:rPr>
              <w:t>Registrar estimación logística con procedencia</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/api/v1/routes</w:t>
            </w:r>
          </w:p>
        </w:tc>
        <w:tc>
          <w:tcPr>
            <w:tcW w:type="dxa" w:w="3987"/>
            <w:shd w:fill="FFFFFF"/>
            <w:tcMar>
              <w:top w:w="80" w:type="dxa"/>
              <w:bottom w:w="80" w:type="dxa"/>
            </w:tcMar>
          </w:tcPr>
          <w:p>
            <w:pPr>
              <w:spacing w:after="0" w:line="240" w:lineRule="auto"/>
            </w:pPr>
            <w:r>
              <w:rPr>
                <w:rFonts w:ascii="Arial" w:hAnsi="Arial"/>
                <w:b w:val="0"/>
                <w:color w:val="1F2933"/>
                <w:sz w:val="18"/>
              </w:rPr>
              <w:t>Rutas autorizadas de la región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PATCH</w:t>
            </w:r>
          </w:p>
        </w:tc>
        <w:tc>
          <w:tcPr>
            <w:tcW w:type="dxa" w:w="3374"/>
            <w:shd w:fill="FFFFFF"/>
            <w:tcMar>
              <w:top w:w="80" w:type="dxa"/>
              <w:bottom w:w="80" w:type="dxa"/>
            </w:tcMar>
          </w:tcPr>
          <w:p>
            <w:pPr>
              <w:spacing w:after="0" w:line="240" w:lineRule="auto"/>
            </w:pPr>
            <w:r>
              <w:rPr>
                <w:rFonts w:ascii="Arial" w:hAnsi="Arial"/>
                <w:b w:val="0"/>
                <w:i w:val="0"/>
                <w:color w:val="1F2933"/>
                <w:sz w:val="18"/>
              </w:rPr>
              <w:t>/api/v1/routes/{identifier}</w:t>
            </w:r>
          </w:p>
        </w:tc>
        <w:tc>
          <w:tcPr>
            <w:tcW w:type="dxa" w:w="3987"/>
            <w:shd w:fill="FFFFFF"/>
            <w:tcMar>
              <w:top w:w="80" w:type="dxa"/>
              <w:bottom w:w="80" w:type="dxa"/>
            </w:tcMar>
          </w:tcPr>
          <w:p>
            <w:pPr>
              <w:spacing w:after="0" w:line="240" w:lineRule="auto"/>
            </w:pPr>
            <w:r>
              <w:rPr>
                <w:rFonts w:ascii="Arial" w:hAnsi="Arial"/>
                <w:b w:val="0"/>
                <w:color w:val="1F2933"/>
                <w:sz w:val="18"/>
              </w:rPr>
              <w:t>Actualizar ruta con control de versión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/api/v1/routes/{identifier}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una ruta regional por identificador</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/internal/v1/routes/{identifier}</w:t>
            </w:r>
          </w:p>
        </w:tc>
        <w:tc>
          <w:tcPr>
            <w:tcW w:type="dxa" w:w="3987"/>
            <w:shd w:fill="FFFFFF"/>
            <w:tcMar>
              <w:top w:w="80" w:type="dxa"/>
              <w:bottom w:w="80" w:type="dxa"/>
            </w:tcMar>
          </w:tcPr>
          <w:p>
            <w:pPr>
              <w:spacing w:after="0" w:line="240" w:lineRule="auto"/>
            </w:pPr>
            <w:r>
              <w:rPr>
                <w:rFonts w:ascii="Arial" w:hAnsi="Arial"/>
                <w:b w:val="0"/>
                <w:color w:val="1F2933"/>
                <w:sz w:val="18"/>
              </w:rPr>
              <w:t>Revalidar una ruta conocida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/internal/v1/route-options</w:t>
            </w:r>
          </w:p>
        </w:tc>
        <w:tc>
          <w:tcPr>
            <w:tcW w:type="dxa" w:w="3987"/>
            <w:shd w:fill="FFFFFF"/>
            <w:tcMar>
              <w:top w:w="80" w:type="dxa"/>
              <w:bottom w:w="80" w:type="dxa"/>
            </w:tcMar>
          </w:tcPr>
          <w:p>
            <w:pPr>
              <w:spacing w:after="0" w:line="240" w:lineRule="auto"/>
            </w:pPr>
            <w:r>
              <w:rPr>
                <w:rFonts w:ascii="Arial" w:hAnsi="Arial"/>
                <w:b w:val="0"/>
                <w:color w:val="1F2933"/>
                <w:sz w:val="18"/>
              </w:rPr>
              <w:t>Estimaciones regionales para filtrar candidatos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/api/v1/rankings</w:t>
            </w:r>
          </w:p>
        </w:tc>
        <w:tc>
          <w:tcPr>
            <w:tcW w:type="dxa" w:w="3987"/>
            <w:shd w:fill="FFFFFF"/>
            <w:tcMar>
              <w:top w:w="80" w:type="dxa"/>
              <w:bottom w:w="80" w:type="dxa"/>
            </w:tcMar>
          </w:tcPr>
          <w:p>
            <w:pPr>
              <w:spacing w:after="0" w:line="240" w:lineRule="auto"/>
            </w:pPr>
            <w:r>
              <w:rPr>
                <w:rFonts w:ascii="Arial" w:hAnsi="Arial"/>
                <w:b w:val="0"/>
                <w:color w:val="1F2933"/>
                <w:sz w:val="18"/>
              </w:rPr>
              <w:t>Ranking operativo explicable y versionado, no decisión clínica</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/api/v1/rankings</w:t>
            </w:r>
          </w:p>
        </w:tc>
        <w:tc>
          <w:tcPr>
            <w:tcW w:type="dxa" w:w="3987"/>
            <w:shd w:fill="FFFFFF"/>
            <w:tcMar>
              <w:top w:w="80" w:type="dxa"/>
              <w:bottom w:w="80" w:type="dxa"/>
            </w:tcMar>
          </w:tcPr>
          <w:p>
            <w:pPr>
              <w:spacing w:after="0" w:line="240" w:lineRule="auto"/>
            </w:pPr>
            <w:r>
              <w:rPr>
                <w:rFonts w:ascii="Arial" w:hAnsi="Arial"/>
                <w:b w:val="0"/>
                <w:color w:val="1F2933"/>
                <w:sz w:val="18"/>
              </w:rPr>
              <w:t>Historial propio de rankings operativos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/api/v1/rankings/{identifier}</w:t>
            </w:r>
          </w:p>
        </w:tc>
        <w:tc>
          <w:tcPr>
            <w:tcW w:type="dxa" w:w="3987"/>
            <w:shd w:fill="FFFFFF"/>
            <w:tcMar>
              <w:top w:w="80" w:type="dxa"/>
              <w:bottom w:w="80" w:type="dxa"/>
            </w:tcMar>
          </w:tcPr>
          <w:p>
            <w:pPr>
              <w:spacing w:after="0" w:line="240" w:lineRule="auto"/>
            </w:pPr>
            <w:r>
              <w:rPr>
                <w:rFonts w:ascii="Arial" w:hAnsi="Arial"/>
                <w:b w:val="0"/>
                <w:color w:val="1F2933"/>
                <w:sz w:val="18"/>
              </w:rPr>
              <w:t>Factores, explicación y resultados del ranking</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/api/v1/allocation-proposals</w:t>
            </w:r>
          </w:p>
        </w:tc>
        <w:tc>
          <w:tcPr>
            <w:tcW w:type="dxa" w:w="3987"/>
            <w:shd w:fill="FFFFFF"/>
            <w:tcMar>
              <w:top w:w="80" w:type="dxa"/>
              <w:bottom w:w="80" w:type="dxa"/>
            </w:tcMar>
          </w:tcPr>
          <w:p>
            <w:pPr>
              <w:spacing w:after="0" w:line="240" w:lineRule="auto"/>
            </w:pPr>
            <w:r>
              <w:rPr>
                <w:rFonts w:ascii="Arial" w:hAnsi="Arial"/>
                <w:b w:val="0"/>
                <w:color w:val="1F2933"/>
                <w:sz w:val="18"/>
              </w:rPr>
              <w:t>Matching máximo de candidatos con dictamen favorable; propuesta sin reservas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/api/v1/allocation-proposals</w:t>
            </w:r>
          </w:p>
        </w:tc>
        <w:tc>
          <w:tcPr>
            <w:tcW w:type="dxa" w:w="3987"/>
            <w:shd w:fill="FFFFFF"/>
            <w:tcMar>
              <w:top w:w="80" w:type="dxa"/>
              <w:bottom w:w="80" w:type="dxa"/>
            </w:tcMar>
          </w:tcPr>
          <w:p>
            <w:pPr>
              <w:spacing w:after="0" w:line="240" w:lineRule="auto"/>
            </w:pPr>
            <w:r>
              <w:rPr>
                <w:rFonts w:ascii="Arial" w:hAnsi="Arial"/>
                <w:b w:val="0"/>
                <w:color w:val="1F2933"/>
                <w:sz w:val="18"/>
              </w:rPr>
              <w:t>Historial institucional de propuestas de cobertura, sin reservas automáticas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/api/v1/allocation-proposals/{identifier}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propuesta, límites y versiones originales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20" w:name="report_section_20"/>
      <w:r>
        <w:t>13.7. Transporte</w:t>
      </w:r>
      <w:bookmarkEnd w:id="20"/>
    </w:p>
    <w:p>
      <w:r>
        <w:t>Planea y sigue traslados, responsables, incidencias, ubicación autorizada y evidencias.</w:t>
      </w:r>
    </w:p>
    <w:p>
      <w:r>
        <w:rPr>
          <w:b/>
          <w:i w:val="0"/>
        </w:rPr>
        <w:t>Justificación y proceso:</w:t>
      </w:r>
      <w:r>
        <w:t xml:space="preserve"> Coordinación planea; origen prepara; traslado recoge y entrega; destino acepta. Cada paso genera eventos de custodia y auditoría.</w:t>
      </w:r>
    </w:p>
    <w:p>
      <w:r>
        <w:rPr>
          <w:b/>
          <w:i w:val="0"/>
        </w:rPr>
        <w:t>Integración declarada:</w:t>
      </w:r>
      <w:r>
        <w:t xml:space="preserve"> puede invocar contratos internos de alertas, auditoria, custodia, identidad_acceso, inventario, priorizacion_geografia; acepta llamadas firmadas de custodia.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órdenes, pasos y referencias de archivos. MongoDB recibe documentos y telemetría mediante outbox. Redis conserva sesión y referencia de ubicación reciente. GCS almacena archivos privados; el portal carga, verifica y descarga mediante firmas temporales.</w:t>
      </w:r>
    </w:p>
    <w:p>
      <w:r>
        <w:rPr>
          <w:b/>
          <w:i w:val="0"/>
        </w:rPr>
        <w:t>Ámbito SQL:</w:t>
      </w:r>
      <w:r>
        <w:t xml:space="preserve"> </w:t>
      </w:r>
      <w:r>
        <w:rPr>
          <w:b w:val="0"/>
          <w:i w:val="0"/>
        </w:rPr>
        <w:t>access_transporte</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files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red_house.stored_file</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shipments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red_house.shipment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telemetry</w:t>
            </w:r>
          </w:p>
        </w:tc>
        <w:tc>
          <w:tcPr>
            <w:tcW w:type="dxa" w:w="5112"/>
            <w:shd w:fill="FFFFFF"/>
            <w:tcMar>
              <w:top w:w="80" w:type="dxa"/>
              <w:bottom w:w="80" w:type="dxa"/>
            </w:tcMar>
          </w:tcPr>
          <w:p>
            <w:pPr>
              <w:spacing w:after="0" w:line="240" w:lineRule="auto"/>
            </w:pPr>
            <w:r>
              <w:rPr>
                <w:rFonts w:ascii="Arial" w:hAnsi="Arial"/>
                <w:b w:val="0"/>
                <w:i w:val="0"/>
                <w:color w:val="1F2933"/>
                <w:sz w:val="18"/>
              </w:rPr>
              <w:t>red_house.transport_telemetry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transitions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red_house.shipment_transition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transporte-a/b</w:t>
      </w:r>
      <w:r>
        <w:t xml:space="preserve">, gateway </w:t>
      </w:r>
      <w:r>
        <w:rPr>
          <w:b w:val="0"/>
          <w:i w:val="0"/>
        </w:rPr>
        <w:t>http://127.0.0.1:6107</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w:t>
            </w:r>
          </w:p>
        </w:tc>
        <w:tc>
          <w:tcPr>
            <w:tcW w:type="dxa" w:w="3987"/>
            <w:shd w:fill="FFFFFF"/>
            <w:tcMar>
              <w:top w:w="80" w:type="dxa"/>
              <w:bottom w:w="80" w:type="dxa"/>
            </w:tcMar>
          </w:tcPr>
          <w:p>
            <w:pPr>
              <w:spacing w:after="0" w:line="240" w:lineRule="auto"/>
            </w:pPr>
            <w:r>
              <w:rPr>
                <w:rFonts w:ascii="Arial" w:hAnsi="Arial"/>
                <w:b w:val="0"/>
                <w:color w:val="1F2933"/>
                <w:sz w:val="18"/>
              </w:rPr>
              <w:t>Planear traslado y confirmar vínculo exclusivo con Inventario</w:t>
            </w:r>
          </w:p>
        </w:tc>
        <w:tc>
          <w:tcPr>
            <w:tcW w:type="dxa" w:w="1840"/>
            <w:shd w:fill="FFFFFF"/>
            <w:tcMar>
              <w:top w:w="80" w:type="dxa"/>
              <w:bottom w:w="80" w:type="dxa"/>
            </w:tcMar>
          </w:tcPr>
          <w:p>
            <w:pPr>
              <w:spacing w:after="0" w:line="240" w:lineRule="auto"/>
            </w:pPr>
            <w:r>
              <w:rPr>
                <w:rFonts w:ascii="Arial" w:hAnsi="Arial"/>
                <w:b w:val="0"/>
                <w:color w:val="1F2933"/>
                <w:sz w:val="18"/>
              </w:rPr>
              <w:t>202, 400, 401, 403, 404, 406, 409, 413, 415, 422, 429, 500, 503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w:t>
            </w:r>
          </w:p>
        </w:tc>
        <w:tc>
          <w:tcPr>
            <w:tcW w:type="dxa" w:w="3987"/>
            <w:shd w:fill="FFFFFF"/>
            <w:tcMar>
              <w:top w:w="80" w:type="dxa"/>
              <w:bottom w:w="80" w:type="dxa"/>
            </w:tcMar>
          </w:tcPr>
          <w:p>
            <w:pPr>
              <w:spacing w:after="0" w:line="240" w:lineRule="auto"/>
            </w:pPr>
            <w:r>
              <w:rPr>
                <w:rFonts w:ascii="Arial" w:hAnsi="Arial"/>
                <w:b w:val="0"/>
                <w:color w:val="1F2933"/>
                <w:sz w:val="18"/>
              </w:rPr>
              <w:t>Traslados de la región, institución o responsable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w:t>
            </w:r>
          </w:p>
        </w:tc>
        <w:tc>
          <w:tcPr>
            <w:tcW w:type="dxa" w:w="3987"/>
            <w:shd w:fill="FFFFFF"/>
            <w:tcMar>
              <w:top w:w="80" w:type="dxa"/>
              <w:bottom w:w="80" w:type="dxa"/>
            </w:tcMar>
          </w:tcPr>
          <w:p>
            <w:pPr>
              <w:spacing w:after="0" w:line="240" w:lineRule="auto"/>
            </w:pPr>
            <w:r>
              <w:rPr>
                <w:rFonts w:ascii="Arial" w:hAnsi="Arial"/>
                <w:b w:val="0"/>
                <w:color w:val="1F2933"/>
                <w:sz w:val="18"/>
              </w:rPr>
              <w:t>Estado logístico y coordinación pendiente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/api/v1/shipments/{identifier}/transitions</w:t>
            </w:r>
          </w:p>
        </w:tc>
        <w:tc>
          <w:tcPr>
            <w:tcW w:type="dxa" w:w="3987"/>
            <w:shd w:fill="FFFFFF"/>
            <w:tcMar>
              <w:top w:w="80" w:type="dxa"/>
              <w:bottom w:w="80" w:type="dxa"/>
            </w:tcMar>
          </w:tcPr>
          <w:p>
            <w:pPr>
              <w:spacing w:after="0" w:line="240" w:lineRule="auto"/>
            </w:pPr>
            <w:r>
              <w:rPr>
                <w:rFonts w:ascii="Arial" w:hAnsi="Arial"/>
                <w:b w:val="0"/>
                <w:color w:val="1F2933"/>
                <w:sz w:val="18"/>
              </w:rPr>
              <w:t>Registrar paso autorizado y evento de custodia durable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/api/v1/shipments/{identifier}/telemetry</w:t>
            </w:r>
          </w:p>
        </w:tc>
        <w:tc>
          <w:tcPr>
            <w:tcW w:type="dxa" w:w="3987"/>
            <w:shd w:fill="FFFFFF"/>
            <w:tcMar>
              <w:top w:w="80" w:type="dxa"/>
              <w:bottom w:w="80" w:type="dxa"/>
            </w:tcMar>
          </w:tcPr>
          <w:p>
            <w:pPr>
              <w:spacing w:after="0" w:line="240" w:lineRule="auto"/>
            </w:pPr>
            <w:r>
              <w:rPr>
                <w:rFonts w:ascii="Arial" w:hAnsi="Arial"/>
                <w:b w:val="0"/>
                <w:color w:val="1F2933"/>
                <w:sz w:val="18"/>
              </w:rPr>
              <w:t>Ubicación solo del responsable durante traslado activo</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/api/v1/shipments/{identifier}/telemetry</w:t>
            </w:r>
          </w:p>
        </w:tc>
        <w:tc>
          <w:tcPr>
            <w:tcW w:type="dxa" w:w="3987"/>
            <w:shd w:fill="FFFFFF"/>
            <w:tcMar>
              <w:top w:w="80" w:type="dxa"/>
              <w:bottom w:w="80" w:type="dxa"/>
            </w:tcMar>
          </w:tcPr>
          <w:p>
            <w:pPr>
              <w:spacing w:after="0" w:line="240" w:lineRule="auto"/>
            </w:pPr>
            <w:r>
              <w:rPr>
                <w:rFonts w:ascii="Arial" w:hAnsi="Arial"/>
                <w:b w:val="0"/>
                <w:color w:val="1F2933"/>
                <w:sz w:val="18"/>
              </w:rPr>
              <w:t>Historial de ubicación con autorización por traslado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/internal/v1/shipments/{identifier}/access</w:t>
            </w:r>
          </w:p>
        </w:tc>
        <w:tc>
          <w:tcPr>
            <w:tcW w:type="dxa" w:w="3987"/>
            <w:shd w:fill="FFFFFF"/>
            <w:tcMar>
              <w:top w:w="80" w:type="dxa"/>
              <w:bottom w:w="80" w:type="dxa"/>
            </w:tcMar>
          </w:tcPr>
          <w:p>
            <w:pPr>
              <w:spacing w:after="0" w:line="240" w:lineRule="auto"/>
            </w:pPr>
            <w:r>
              <w:rPr>
                <w:rFonts w:ascii="Arial" w:hAnsi="Arial"/>
                <w:b w:val="0"/>
                <w:color w:val="1F2933"/>
                <w:sz w:val="18"/>
              </w:rPr>
              <w:t>Autorizar consulta de custodia por asignación logística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/api/v1/shipments/{identifier}/files</w:t>
            </w:r>
          </w:p>
        </w:tc>
        <w:tc>
          <w:tcPr>
            <w:tcW w:type="dxa" w:w="3987"/>
            <w:shd w:fill="FFFFFF"/>
            <w:tcMar>
              <w:top w:w="80" w:type="dxa"/>
              <w:bottom w:w="80" w:type="dxa"/>
            </w:tcMar>
          </w:tcPr>
          <w:p>
            <w:pPr>
              <w:spacing w:after="0" w:line="240" w:lineRule="auto"/>
            </w:pPr>
            <w:r>
              <w:rPr>
                <w:rFonts w:ascii="Arial" w:hAnsi="Arial"/>
                <w:b w:val="0"/>
                <w:color w:val="1F2933"/>
                <w:sz w:val="18"/>
              </w:rPr>
              <w:t>Preparar carga privada con URL firmada de cinco minutos</w:t>
            </w:r>
          </w:p>
        </w:tc>
        <w:tc>
          <w:tcPr>
            <w:tcW w:type="dxa" w:w="1840"/>
            <w:shd w:fill="FFFFFF"/>
            <w:tcMar>
              <w:top w:w="80" w:type="dxa"/>
              <w:bottom w:w="80" w:type="dxa"/>
            </w:tcMar>
          </w:tcPr>
          <w:p>
            <w:pPr>
              <w:spacing w:after="0" w:line="240" w:lineRule="auto"/>
            </w:pPr>
            <w:r>
              <w:rPr>
                <w:rFonts w:ascii="Arial" w:hAnsi="Arial"/>
                <w:b w:val="0"/>
                <w:color w:val="1F2933"/>
                <w:sz w:val="18"/>
              </w:rPr>
              <w:t>201, 400, 401, 403, 404, 406, 409, 413, 415, 422, 429, 500, 503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/api/v1/shipments/{identifier}/files</w:t>
            </w:r>
          </w:p>
        </w:tc>
        <w:tc>
          <w:tcPr>
            <w:tcW w:type="dxa" w:w="3987"/>
            <w:shd w:fill="FFFFFF"/>
            <w:tcMar>
              <w:top w:w="80" w:type="dxa"/>
              <w:bottom w:w="80" w:type="dxa"/>
            </w:tcMar>
          </w:tcPr>
          <w:p>
            <w:pPr>
              <w:spacing w:after="0" w:line="240" w:lineRule="auto"/>
            </w:pPr>
            <w:r>
              <w:rPr>
                <w:rFonts w:ascii="Arial" w:hAnsi="Arial"/>
                <w:b w:val="0"/>
                <w:color w:val="1F2933"/>
                <w:sz w:val="18"/>
              </w:rPr>
              <w:t>Evidencias del traslado y estado persistente de validación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/api/v1/files/{identifier}/verify</w:t>
            </w:r>
          </w:p>
        </w:tc>
        <w:tc>
          <w:tcPr>
            <w:tcW w:type="dxa" w:w="3987"/>
            <w:shd w:fill="FFFFFF"/>
            <w:tcMar>
              <w:top w:w="80" w:type="dxa"/>
              <w:bottom w:w="80" w:type="dxa"/>
            </w:tcMar>
          </w:tcPr>
          <w:p>
            <w:pPr>
              <w:spacing w:after="0" w:line="240" w:lineRule="auto"/>
            </w:pPr>
            <w:r>
              <w:rPr>
                <w:rFonts w:ascii="Arial" w:hAnsi="Arial"/>
                <w:b w:val="0"/>
                <w:color w:val="1F2933"/>
                <w:sz w:val="18"/>
              </w:rPr>
              <w:t>Verificar tamaño, MIME, firma de archivo y SHA-256 del objeto real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/api/v1/files/{identifier}/download</w:t>
            </w:r>
          </w:p>
        </w:tc>
        <w:tc>
          <w:tcPr>
            <w:tcW w:type="dxa" w:w="3987"/>
            <w:shd w:fill="FFFFFF"/>
            <w:tcMar>
              <w:top w:w="80" w:type="dxa"/>
              <w:bottom w:w="80" w:type="dxa"/>
            </w:tcMar>
          </w:tcPr>
          <w:p>
            <w:pPr>
              <w:spacing w:after="0" w:line="240" w:lineRule="auto"/>
            </w:pPr>
            <w:r>
              <w:rPr>
                <w:rFonts w:ascii="Arial" w:hAnsi="Arial"/>
                <w:b w:val="0"/>
                <w:color w:val="1F2933"/>
                <w:sz w:val="18"/>
              </w:rPr>
              <w:t>Descargar evidencia verificada mediante acceso temporal privado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/api/v1/summary</w:t>
            </w:r>
          </w:p>
        </w:tc>
        <w:tc>
          <w:tcPr>
            <w:tcW w:type="dxa" w:w="3987"/>
            <w:shd w:fill="FFFFFF"/>
            <w:tcMar>
              <w:top w:w="80" w:type="dxa"/>
              <w:bottom w:w="80" w:type="dxa"/>
            </w:tcMar>
          </w:tcPr>
          <w:p>
            <w:pPr>
              <w:spacing w:after="0" w:line="240" w:lineRule="auto"/>
            </w:pPr>
            <w:r>
              <w:rPr>
                <w:rFonts w:ascii="Arial" w:hAnsi="Arial"/>
                <w:b w:val="0"/>
                <w:color w:val="1F2933"/>
                <w:sz w:val="18"/>
              </w:rPr>
              <w:t>Indicadores agregados autorizados; no expone expedientes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/api/v1/shipments/{identifier}/tracking</w:t>
            </w:r>
          </w:p>
        </w:tc>
        <w:tc>
          <w:tcPr>
            <w:tcW w:type="dxa" w:w="3987"/>
            <w:shd w:fill="FFFFFF"/>
            <w:tcMar>
              <w:top w:w="80" w:type="dxa"/>
              <w:bottom w:w="80" w:type="dxa"/>
            </w:tcMar>
          </w:tcPr>
          <w:p>
            <w:pPr>
              <w:spacing w:after="0" w:line="240" w:lineRule="auto"/>
            </w:pPr>
            <w:r>
              <w:rPr>
                <w:rFonts w:ascii="Arial" w:hAnsi="Arial"/>
                <w:b w:val="0"/>
                <w:color w:val="1F2933"/>
                <w:sz w:val="18"/>
              </w:rPr>
              <w:t>Último paso documental con versión y referencia a PostgreSQL</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/api/v1/shipment-statistics</w:t>
            </w:r>
          </w:p>
        </w:tc>
        <w:tc>
          <w:tcPr>
            <w:tcW w:type="dxa" w:w="3987"/>
            <w:shd w:fill="FFFFFF"/>
            <w:tcMar>
              <w:top w:w="80" w:type="dxa"/>
              <w:bottom w:w="80" w:type="dxa"/>
            </w:tcMar>
          </w:tcPr>
          <w:p>
            <w:pPr>
              <w:spacing w:after="0" w:line="240" w:lineRule="auto"/>
            </w:pPr>
            <w:r>
              <w:rPr>
                <w:rFonts w:ascii="Arial" w:hAnsi="Arial"/>
                <w:b w:val="0"/>
                <w:color w:val="1F2933"/>
                <w:sz w:val="18"/>
              </w:rPr>
              <w:t>Agregación regional del último paso documental de cada traslado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21" w:name="report_section_21"/>
      <w:r>
        <w:t>13.8. Cadena de custodia</w:t>
      </w:r>
      <w:bookmarkEnd w:id="21"/>
    </w:p>
    <w:p>
      <w:r>
        <w:t>Conserva secuencia verificable de transferencias físicas y referencias de evidencia.</w:t>
      </w:r>
    </w:p>
    <w:p>
      <w:r>
        <w:rPr>
          <w:b/>
          <w:i w:val="0"/>
        </w:rPr>
        <w:t>Justificación y proceso:</w:t>
      </w:r>
      <w:r>
        <w:t xml:space="preserve"> Transporte produce PLANNED, PREPARED, COLLECTED, IN_TRANSIT, DELIVERED y ACCEPTED; Custodia los incorpora sin duplicarlos ni admitir huecos.</w:t>
      </w:r>
    </w:p>
    <w:p>
      <w:r>
        <w:rPr>
          <w:b/>
          <w:i w:val="0"/>
        </w:rPr>
        <w:t>Integración declarada:</w:t>
      </w:r>
      <w:r>
        <w:t xml:space="preserve"> puede invocar contratos internos de auditoria, transporte; acepta llamadas firmadas de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mantiene el registro autoritativo con secuencia e historial protegido. MongoDB recibe la proyección documental. SHA-256 enlaza eventos; Redis valida identidad y acceso.</w:t>
      </w:r>
    </w:p>
    <w:p>
      <w:r>
        <w:rPr>
          <w:b/>
          <w:i w:val="0"/>
        </w:rPr>
        <w:t>Ámbito SQL:</w:t>
      </w:r>
      <w:r>
        <w:t xml:space="preserve"> </w:t>
      </w:r>
      <w:r>
        <w:rPr>
          <w:b w:val="0"/>
          <w:i w:val="0"/>
        </w:rPr>
        <w:t>access_custodia</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chains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red_house.custody_chain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custody_events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red_house.custody_event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custodia-a/b</w:t>
      </w:r>
      <w:r>
        <w:t xml:space="preserve">, gateway </w:t>
      </w:r>
      <w:r>
        <w:rPr>
          <w:b w:val="0"/>
          <w:i w:val="0"/>
        </w:rPr>
        <w:t>http://127.0.0.1:6108</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/internal/v1/events</w:t>
            </w:r>
          </w:p>
        </w:tc>
        <w:tc>
          <w:tcPr>
            <w:tcW w:type="dxa" w:w="3987"/>
            <w:shd w:fill="FFFFFF"/>
            <w:tcMar>
              <w:top w:w="80" w:type="dxa"/>
              <w:bottom w:w="80" w:type="dxa"/>
            </w:tcMar>
          </w:tcPr>
          <w:p>
            <w:pPr>
              <w:spacing w:after="0" w:line="240" w:lineRule="auto"/>
            </w:pPr>
            <w:r>
              <w:rPr>
                <w:rFonts w:ascii="Arial" w:hAnsi="Arial"/>
                <w:b w:val="0"/>
                <w:color w:val="1F2933"/>
                <w:sz w:val="18"/>
              </w:rPr>
              <w:t>Custodia secuencial, deduplicada e inmutable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/api/v1/chains/{identifier}</w:t>
            </w:r>
          </w:p>
        </w:tc>
        <w:tc>
          <w:tcPr>
            <w:tcW w:type="dxa" w:w="3987"/>
            <w:shd w:fill="FFFFFF"/>
            <w:tcMar>
              <w:top w:w="80" w:type="dxa"/>
              <w:bottom w:w="80" w:type="dxa"/>
            </w:tcMar>
          </w:tcPr>
          <w:p>
            <w:pPr>
              <w:spacing w:after="0" w:line="240" w:lineRule="auto"/>
            </w:pPr>
            <w:r>
              <w:rPr>
                <w:rFonts w:ascii="Arial" w:hAnsi="Arial"/>
                <w:b w:val="0"/>
                <w:color w:val="1F2933"/>
                <w:sz w:val="18"/>
              </w:rPr>
              <w:t>Consultar cadena; hash detecta alteraciones, no certifica veracidad física</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22" w:name="report_section_22"/>
      <w:r>
        <w:t>13.9. Alertas</w:t>
      </w:r>
      <w:bookmarkEnd w:id="22"/>
    </w:p>
    <w:p>
      <w:r>
        <w:t>Genera una bandeja de avisos por eventos y conserva su atención.</w:t>
      </w:r>
    </w:p>
    <w:p>
      <w:r>
        <w:rPr>
          <w:b/>
          <w:i w:val="0"/>
        </w:rPr>
        <w:t>Justificación y proceso:</w:t>
      </w:r>
      <w:r>
        <w:t xml:space="preserve"> Una reserva avisa a las instituciones implicadas; una cita o evaluación de donante puede avisar a su cuenta específica.</w:t>
      </w:r>
    </w:p>
    <w:p>
      <w:r>
        <w:rPr>
          <w:b/>
          <w:i w:val="0"/>
        </w:rPr>
        <w:t>Integración declarada:</w:t>
      </w:r>
      <w:r>
        <w:t xml:space="preserve"> puede invocar contratos internos de auditoria; acepta llamadas firmadas de donantes, inventario, monitoreo, receptores,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conserva alertas, destinatarios y acuses. Redis valida sesión y permisos. Eventos se deduplican por identificador.</w:t>
      </w:r>
    </w:p>
    <w:p>
      <w:r>
        <w:rPr>
          <w:b/>
          <w:i w:val="0"/>
        </w:rPr>
        <w:t>Ámbito SQL:</w:t>
      </w:r>
      <w:r>
        <w:t xml:space="preserve"> </w:t>
      </w:r>
      <w:r>
        <w:rPr>
          <w:b w:val="0"/>
          <w:i w:val="0"/>
        </w:rPr>
        <w:t>access_alertas</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alerts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red_house.notification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alertas-a/b</w:t>
      </w:r>
      <w:r>
        <w:t xml:space="preserve">, gateway </w:t>
      </w:r>
      <w:r>
        <w:rPr>
          <w:b w:val="0"/>
          <w:i w:val="0"/>
        </w:rPr>
        <w:t>http://127.0.0.1:6109</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/internal/v1/events</w:t>
            </w:r>
          </w:p>
        </w:tc>
        <w:tc>
          <w:tcPr>
            <w:tcW w:type="dxa" w:w="3987"/>
            <w:shd w:fill="FFFFFF"/>
            <w:tcMar>
              <w:top w:w="80" w:type="dxa"/>
              <w:bottom w:w="80" w:type="dxa"/>
            </w:tcMar>
          </w:tcPr>
          <w:p>
            <w:pPr>
              <w:spacing w:after="0" w:line="240" w:lineRule="auto"/>
            </w:pPr>
            <w:r>
              <w:rPr>
                <w:rFonts w:ascii="Arial" w:hAnsi="Arial"/>
                <w:b w:val="0"/>
                <w:color w:val="1F2933"/>
                <w:sz w:val="18"/>
              </w:rPr>
              <w:t>Generar alertas por evento con deduplicación y destinatarios explícitos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/api/v1/alerts</w:t>
            </w:r>
          </w:p>
        </w:tc>
        <w:tc>
          <w:tcPr>
            <w:tcW w:type="dxa" w:w="3987"/>
            <w:shd w:fill="FFFFFF"/>
            <w:tcMar>
              <w:top w:w="80" w:type="dxa"/>
              <w:bottom w:w="80" w:type="dxa"/>
            </w:tcMar>
          </w:tcPr>
          <w:p>
            <w:pPr>
              <w:spacing w:after="0" w:line="240" w:lineRule="auto"/>
            </w:pPr>
            <w:r>
              <w:rPr>
                <w:rFonts w:ascii="Arial" w:hAnsi="Arial"/>
                <w:b w:val="0"/>
                <w:color w:val="1F2933"/>
                <w:sz w:val="18"/>
              </w:rPr>
              <w:t>Bandeja autorizada: institución, rol y usuario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/api/v1/alerts/{identifier}/acknowledge</w:t>
            </w:r>
          </w:p>
        </w:tc>
        <w:tc>
          <w:tcPr>
            <w:tcW w:type="dxa" w:w="3987"/>
            <w:shd w:fill="FFFFFF"/>
            <w:tcMar>
              <w:top w:w="80" w:type="dxa"/>
              <w:bottom w:w="80" w:type="dxa"/>
            </w:tcMar>
          </w:tcPr>
          <w:p>
            <w:pPr>
              <w:spacing w:after="0" w:line="240" w:lineRule="auto"/>
            </w:pPr>
            <w:r>
              <w:rPr>
                <w:rFonts w:ascii="Arial" w:hAnsi="Arial"/>
                <w:b w:val="0"/>
                <w:color w:val="1F2933"/>
                <w:sz w:val="18"/>
              </w:rPr>
              <w:t>Acusar recibo sin modificar el hecho de origen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23" w:name="report_section_23"/>
      <w:r>
        <w:t>13.10. Auditoría</w:t>
      </w:r>
      <w:bookmarkEnd w:id="23"/>
    </w:p>
    <w:p>
      <w:r>
        <w:t>Recibe registros minimizados de accesos, cambios, evaluaciones y decisiones.</w:t>
      </w:r>
    </w:p>
    <w:p>
      <w:r>
        <w:rPr>
          <w:b/>
          <w:i w:val="0"/>
        </w:rPr>
        <w:t>Justificación y proceso:</w:t>
      </w:r>
      <w:r>
        <w:t xml:space="preserve"> El cambio y su evento se guardan juntos en el servicio de origen. Auditoría recibe después el evento con reintentos y deduplicación.</w:t>
      </w:r>
    </w:p>
    <w:p>
      <w:r>
        <w:rPr>
          <w:b/>
          <w:i w:val="0"/>
        </w:rPr>
        <w:t>Integración declarada:</w:t>
      </w:r>
      <w:r>
        <w:t xml:space="preserve"> puede invocar contratos internos de auditoria; acepta llamadas firmadas de alertas, auditoria, compatibilidad, custodia, donantes, identidad_acceso, inventario, monitoreo, priorizacion_geografia, receptores, transporte.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PostgreSQL mantiene registro inmutable bajo credenciales de aplicación. MongoDB proporciona proyección documental flexible. Redis controla sesión, perfil Auditor y región.</w:t>
      </w:r>
    </w:p>
    <w:p>
      <w:r>
        <w:rPr>
          <w:b/>
          <w:i w:val="0"/>
        </w:rPr>
        <w:t>Ámbito SQL:</w:t>
      </w:r>
      <w:r>
        <w:t xml:space="preserve"> </w:t>
      </w:r>
      <w:r>
        <w:rPr>
          <w:b w:val="0"/>
          <w:i w:val="0"/>
        </w:rPr>
        <w:t>access_auditoria</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audit_events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red_house.audit_event</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auditoria-a/b</w:t>
      </w:r>
      <w:r>
        <w:t xml:space="preserve">, gateway </w:t>
      </w:r>
      <w:r>
        <w:rPr>
          <w:b w:val="0"/>
          <w:i w:val="0"/>
        </w:rPr>
        <w:t>http://127.0.0.1:6110</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POST</w:t>
            </w:r>
          </w:p>
        </w:tc>
        <w:tc>
          <w:tcPr>
            <w:tcW w:type="dxa" w:w="3374"/>
            <w:shd w:fill="FFFFFF"/>
            <w:tcMar>
              <w:top w:w="80" w:type="dxa"/>
              <w:bottom w:w="80" w:type="dxa"/>
            </w:tcMar>
          </w:tcPr>
          <w:p>
            <w:pPr>
              <w:spacing w:after="0" w:line="240" w:lineRule="auto"/>
            </w:pPr>
            <w:r>
              <w:rPr>
                <w:rFonts w:ascii="Arial" w:hAnsi="Arial"/>
                <w:b w:val="0"/>
                <w:i w:val="0"/>
                <w:color w:val="1F2933"/>
                <w:sz w:val="18"/>
              </w:rPr>
              <w:t>/internal/v1/events</w:t>
            </w:r>
          </w:p>
        </w:tc>
        <w:tc>
          <w:tcPr>
            <w:tcW w:type="dxa" w:w="3987"/>
            <w:shd w:fill="FFFFFF"/>
            <w:tcMar>
              <w:top w:w="80" w:type="dxa"/>
              <w:bottom w:w="80" w:type="dxa"/>
            </w:tcMar>
          </w:tcPr>
          <w:p>
            <w:pPr>
              <w:spacing w:after="0" w:line="240" w:lineRule="auto"/>
            </w:pPr>
            <w:r>
              <w:rPr>
                <w:rFonts w:ascii="Arial" w:hAnsi="Arial"/>
                <w:b w:val="0"/>
                <w:color w:val="1F2933"/>
                <w:sz w:val="18"/>
              </w:rPr>
              <w:t>Recibir registro minimizado y conservarlo de forma inmutable</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/api/v1/events</w:t>
            </w:r>
          </w:p>
        </w:tc>
        <w:tc>
          <w:tcPr>
            <w:tcW w:type="dxa" w:w="3987"/>
            <w:shd w:fill="FFFFFF"/>
            <w:tcMar>
              <w:top w:w="80" w:type="dxa"/>
              <w:bottom w:w="80" w:type="dxa"/>
            </w:tcMar>
          </w:tcPr>
          <w:p>
            <w:pPr>
              <w:spacing w:after="0" w:line="240" w:lineRule="auto"/>
            </w:pPr>
            <w:r>
              <w:rPr>
                <w:rFonts w:ascii="Arial" w:hAnsi="Arial"/>
                <w:b w:val="0"/>
                <w:color w:val="1F2933"/>
                <w:sz w:val="18"/>
              </w:rPr>
              <w:t>Bitácora regional de solo lectura; sin credenciales ni contenido clínico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/api/v1/events/{identifier}</w:t>
            </w:r>
          </w:p>
        </w:tc>
        <w:tc>
          <w:tcPr>
            <w:tcW w:type="dxa" w:w="3987"/>
            <w:shd w:fill="FFFFFF"/>
            <w:tcMar>
              <w:top w:w="80" w:type="dxa"/>
              <w:bottom w:w="80" w:type="dxa"/>
            </w:tcMar>
          </w:tcPr>
          <w:p>
            <w:pPr>
              <w:spacing w:after="0" w:line="240" w:lineRule="auto"/>
            </w:pPr>
            <w:r>
              <w:rPr>
                <w:rFonts w:ascii="Arial" w:hAnsi="Arial"/>
                <w:b w:val="0"/>
                <w:color w:val="1F2933"/>
                <w:sz w:val="18"/>
              </w:rPr>
              <w:t>Evento auditable y correlación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/api/v1/documentary-events</w:t>
            </w:r>
          </w:p>
        </w:tc>
        <w:tc>
          <w:tcPr>
            <w:tcW w:type="dxa" w:w="3987"/>
            <w:shd w:fill="FFFFFF"/>
            <w:tcMar>
              <w:top w:w="80" w:type="dxa"/>
              <w:bottom w:w="80" w:type="dxa"/>
            </w:tcMar>
          </w:tcPr>
          <w:p>
            <w:pPr>
              <w:spacing w:after="0" w:line="240" w:lineRule="auto"/>
            </w:pPr>
            <w:r>
              <w:rPr>
                <w:rFonts w:ascii="Arial" w:hAnsi="Arial"/>
                <w:b w:val="0"/>
                <w:color w:val="1F2933"/>
                <w:sz w:val="18"/>
              </w:rPr>
              <w:t>Proyección documental MongoDB; puede estar pendiente de sincronización</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Heading1"/>
      </w:pPr>
      <w:bookmarkStart w:id="24" w:name="report_section_24"/>
      <w:r>
        <w:t>13.11. Monitoreo</w:t>
      </w:r>
      <w:bookmarkEnd w:id="24"/>
    </w:p>
    <w:p>
      <w:r>
        <w:t>Consulta salud y conserva disponibilidad, latencia, versión y dependencia que falla.</w:t>
      </w:r>
    </w:p>
    <w:p>
      <w:r>
        <w:rPr>
          <w:b/>
          <w:i w:val="0"/>
        </w:rPr>
        <w:t>Justificación y proceso:</w:t>
      </w:r>
      <w:r>
        <w:t xml:space="preserve"> Con Redis detenido, el proceso sigue vivo, readiness se degrada y las operaciones protegidas fallan de forma cerrada.</w:t>
      </w:r>
    </w:p>
    <w:p>
      <w:r>
        <w:rPr>
          <w:b/>
          <w:i w:val="0"/>
        </w:rPr>
        <w:t>Integración declarada:</w:t>
      </w:r>
      <w:r>
        <w:t xml:space="preserve"> puede invocar contratos internos de alertas, auditoria; no ofrece contratos internos firmados. Estas relaciones incluyen entrega de eventos. Monitoreo consulta además la salud pública de todos los componentes. Cada ruta conserva su lista específica de consumidores y delegación en OpenAPI.</w:t>
      </w:r>
    </w:p>
    <w:p>
      <w:r>
        <w:rPr>
          <w:b/>
          <w:i w:val="0"/>
        </w:rPr>
        <w:t>Persistencia y relaciones:</w:t>
      </w:r>
      <w:r>
        <w:t xml:space="preserve"> HTTP requests consulta /health/ready; MongoDB guarda primero cada sondeo y PostgreSQL conserva las verificaciones. El estado puede consultarse desde MongoDB si PostgreSQL falla. Redis protege las consultas. El worker sondea cada 30 segundos.</w:t>
      </w:r>
    </w:p>
    <w:p>
      <w:r>
        <w:rPr>
          <w:b/>
          <w:i w:val="0"/>
        </w:rPr>
        <w:t>Ámbito SQL:</w:t>
      </w:r>
      <w:r>
        <w:t xml:space="preserve"> </w:t>
      </w:r>
      <w:r>
        <w:rPr>
          <w:b w:val="0"/>
          <w:i w:val="0"/>
        </w:rPr>
        <w:t>access_monitoreo</w:t>
      </w:r>
      <w:r>
        <w:t xml:space="preserve">. La correspondencia siguiente procede del SQL de instalación. Las tablas técnicas </w:t>
      </w:r>
      <w:r>
        <w:rPr>
          <w:b w:val="0"/>
          <w:i w:val="0"/>
        </w:rPr>
        <w:t>service_*</w:t>
      </w:r>
      <w:r>
        <w:t xml:space="preserve"> filtran el propietario; las claves y relaciones completas constan en el </w:t>
      </w:r>
      <w:r>
        <w:rPr>
          <w:b w:val="0"/>
          <w:i w:val="0"/>
        </w:rPr>
        <w:t>catálogo físico</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5112"/>
        <w:gridCol w:w="5112"/>
      </w:tblGrid>
      <w:tr>
        <w:trPr>
          <w:tblHeader/>
          <w:cantSplit/>
        </w:trPr>
        <w:tc>
          <w:tcPr>
            <w:tcW w:type="dxa" w:w="5112"/>
            <w:shd w:fill="991B1B"/>
            <w:tcMar>
              <w:top w:w="80" w:type="dxa"/>
              <w:bottom w:w="80" w:type="dxa"/>
            </w:tcMar>
          </w:tcPr>
          <w:p>
            <w:pPr>
              <w:spacing w:after="0" w:line="240" w:lineRule="auto"/>
            </w:pPr>
            <w:r>
              <w:rPr>
                <w:rFonts w:ascii="Arial" w:hAnsi="Arial"/>
                <w:b/>
                <w:color w:val="FFFFFF"/>
                <w:sz w:val="18"/>
              </w:rPr>
              <w:t>Vista autorizada</w:t>
            </w:r>
          </w:p>
        </w:tc>
        <w:tc>
          <w:tcPr>
            <w:tcW w:type="dxa" w:w="5112"/>
            <w:shd w:fill="991B1B"/>
            <w:tcMar>
              <w:top w:w="80" w:type="dxa"/>
              <w:bottom w:w="80" w:type="dxa"/>
            </w:tcMar>
          </w:tcPr>
          <w:p>
            <w:pPr>
              <w:spacing w:after="0" w:line="240" w:lineRule="auto"/>
            </w:pPr>
            <w:r>
              <w:rPr>
                <w:rFonts w:ascii="Arial" w:hAnsi="Arial"/>
                <w:b/>
                <w:color w:val="FFFFFF"/>
                <w:sz w:val="18"/>
              </w:rPr>
              <w:t>Tabla física compartida</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activity_events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red_house.service_activity_events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checks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red_house.service_health_check</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decisions</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red_house.service_decisions</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idempotency</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red_house.service_idempotency</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inbox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red_house.service_inbox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outbox</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red_house.service_outbox</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schema_version</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red_house.service_schema_version</w:t>
            </w:r>
          </w:p>
        </w:tc>
      </w:tr>
      <w:tr>
        <w:trPr>
          <w:cantSplit/>
        </w:trPr>
        <w:tc>
          <w:tcPr>
            <w:tcW w:type="dxa" w:w="5112"/>
            <w:shd w:fill="FFFFFF"/>
            <w:tcMar>
              <w:top w:w="80" w:type="dxa"/>
              <w:bottom w:w="80" w:type="dxa"/>
            </w:tcMar>
          </w:tcPr>
          <w:p>
            <w:pPr>
              <w:spacing w:after="0" w:line="240" w:lineRule="auto"/>
            </w:pPr>
            <w:r>
              <w:rPr>
                <w:rFonts w:ascii="Arial" w:hAnsi="Arial"/>
                <w:b w:val="0"/>
                <w:i w:val="0"/>
                <w:color w:val="1F2933"/>
                <w:sz w:val="18"/>
              </w:rPr>
              <w:t>worker_health</w:t>
            </w:r>
          </w:p>
        </w:tc>
        <w:tc>
          <w:tcPr>
            <w:tcW w:type="dxa" w:w="5112"/>
            <w:shd w:fill="FFFFFF"/>
            <w:tcMar>
              <w:top w:w="80" w:type="dxa"/>
              <w:bottom w:w="80" w:type="dxa"/>
            </w:tcMar>
          </w:tcPr>
          <w:p>
            <w:pPr>
              <w:spacing w:after="0" w:line="240" w:lineRule="auto"/>
            </w:pPr>
            <w:r>
              <w:rPr>
                <w:rFonts w:ascii="Arial" w:hAnsi="Arial"/>
                <w:b w:val="0"/>
                <w:i w:val="0"/>
                <w:color w:val="1F2933"/>
                <w:sz w:val="18"/>
              </w:rPr>
              <w:t>red_house.service_worker_health</w:t>
            </w:r>
          </w:p>
        </w:tc>
      </w:tr>
    </w:tbl>
    <w:p/>
    <w:p>
      <w:r>
        <w:rPr>
          <w:b/>
          <w:i w:val="0"/>
        </w:rPr>
        <w:t>Despliegue:</w:t>
      </w:r>
      <w:r>
        <w:t xml:space="preserve"> </w:t>
      </w:r>
      <w:r>
        <w:rPr>
          <w:b w:val="0"/>
          <w:i w:val="0"/>
        </w:rPr>
        <w:t>Dockerfile</w:t>
      </w:r>
      <w:r>
        <w:t xml:space="preserve">, dos instancias </w:t>
      </w:r>
      <w:r>
        <w:rPr>
          <w:b w:val="0"/>
          <w:i w:val="0"/>
        </w:rPr>
        <w:t>monitoreo-a/b</w:t>
      </w:r>
      <w:r>
        <w:t xml:space="preserve">, gateway </w:t>
      </w:r>
      <w:r>
        <w:rPr>
          <w:b w:val="0"/>
          <w:i w:val="0"/>
        </w:rPr>
        <w:t>http://127.0.0.1:6111</w:t>
      </w:r>
      <w:r>
        <w:t xml:space="preserve"> y Swagger </w:t>
      </w:r>
      <w:r>
        <w:rPr>
          <w:b w:val="0"/>
          <w:i w:val="0"/>
        </w:rPr>
        <w:t>/docs/</w:t>
      </w:r>
      <w:r>
        <w:t xml:space="preserve">. Configuración privada propia: </w:t>
      </w:r>
      <w:r>
        <w:rPr>
          <w:b w:val="0"/>
          <w:i w:val="0"/>
        </w:rPr>
        <w:t>DATABASE_URL</w:t>
      </w:r>
      <w:r>
        <w:t xml:space="preserve">, </w:t>
      </w:r>
      <w:r>
        <w:rPr>
          <w:b w:val="0"/>
          <w:i w:val="0"/>
        </w:rPr>
        <w:t>REDIS_URL</w:t>
      </w:r>
      <w:r>
        <w:t>, claves públicas JWT y de servicios, clave privada de firma interna y URLs del gateway. Solo Identidad conserva la clave privada JWT. Transporte añade configuración GCS; los cuatro propietarios documentales añaden MongoDB.</w:t>
      </w:r>
    </w:p>
    <w:p>
      <w:r>
        <w:rPr>
          <w:b/>
          <w:i w:val="0"/>
        </w:rPr>
        <w:t>Seguridad:</w:t>
      </w:r>
      <w:r>
        <w:t xml:space="preserve"> JWT RS256 con Redis en cada operación protegida; rol y recurso según contrato. Rutas internas exigen firma, nonce y autoridad llamante. POST/PATCH de negocio conservan Idempotency-Key donde está declarado, versión y motivo cuando corresponde. GET autorizado genera auditoría; las transacciones publican eventos por outbox.</w:t>
      </w:r>
    </w:p>
    <w:p>
      <w:r>
        <w:rPr>
          <w:b/>
          <w:i w:val="0"/>
        </w:rPr>
        <w:t>Contratos:</w:t>
      </w:r>
      <w:r>
        <w:t xml:space="preserve"> </w:t>
      </w:r>
      <w:r>
        <w:rPr>
          <w:b w:val="0"/>
          <w:i w:val="0"/>
        </w:rPr>
        <w:t>OpenAPI completo</w:t>
      </w:r>
      <w:r>
        <w:t xml:space="preserve"> · </w:t>
      </w:r>
      <w:r>
        <w:rPr>
          <w:b w:val="0"/>
          <w:i w:val="0"/>
        </w:rPr>
        <w:t>Directorio JSON/XML/XSD</w:t>
      </w:r>
      <w:r>
        <w:t xml:space="preserve"> · </w:t>
      </w:r>
      <w:r>
        <w:rPr>
          <w:b w:val="0"/>
          <w:i w:val="0"/>
        </w:rPr>
        <w:t>Ejecuciones HTTP</w:t>
      </w:r>
      <w:r>
        <w:t>.</w:t>
      </w:r>
    </w:p>
    <w:tbl>
      <w:tblPr>
        <w:tblStyle w:val="TableGrid"/>
        <w:tblW w:type="auto" w:w="0"/>
        <w:tblLayout w:type="fixed"/>
        <w:tblLook w:firstColumn="1" w:firstRow="1" w:lastColumn="0" w:lastRow="0" w:noHBand="0" w:noVBand="1" w:val="04A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Grid>
        <w:gridCol w:w="1022"/>
        <w:gridCol w:w="3374"/>
        <w:gridCol w:w="3987"/>
        <w:gridCol w:w="1840"/>
      </w:tblGrid>
      <w:tr>
        <w:trPr>
          <w:tblHeader/>
          <w:cantSplit/>
        </w:trPr>
        <w:tc>
          <w:tcPr>
            <w:tcW w:type="dxa" w:w="1022"/>
            <w:shd w:fill="991B1B"/>
            <w:tcMar>
              <w:top w:w="80" w:type="dxa"/>
              <w:bottom w:w="80" w:type="dxa"/>
            </w:tcMar>
          </w:tcPr>
          <w:p>
            <w:pPr>
              <w:spacing w:after="0" w:line="240" w:lineRule="auto"/>
            </w:pPr>
            <w:r>
              <w:rPr>
                <w:rFonts w:ascii="Arial" w:hAnsi="Arial"/>
                <w:b/>
                <w:color w:val="FFFFFF"/>
                <w:sz w:val="18"/>
              </w:rPr>
              <w:t>Método</w:t>
            </w:r>
          </w:p>
        </w:tc>
        <w:tc>
          <w:tcPr>
            <w:tcW w:type="dxa" w:w="3374"/>
            <w:shd w:fill="991B1B"/>
            <w:tcMar>
              <w:top w:w="80" w:type="dxa"/>
              <w:bottom w:w="80" w:type="dxa"/>
            </w:tcMar>
          </w:tcPr>
          <w:p>
            <w:pPr>
              <w:spacing w:after="0" w:line="240" w:lineRule="auto"/>
            </w:pPr>
            <w:r>
              <w:rPr>
                <w:rFonts w:ascii="Arial" w:hAnsi="Arial"/>
                <w:b/>
                <w:color w:val="FFFFFF"/>
                <w:sz w:val="18"/>
              </w:rPr>
              <w:t>Ruta</w:t>
            </w:r>
          </w:p>
        </w:tc>
        <w:tc>
          <w:tcPr>
            <w:tcW w:type="dxa" w:w="3987"/>
            <w:shd w:fill="991B1B"/>
            <w:tcMar>
              <w:top w:w="80" w:type="dxa"/>
              <w:bottom w:w="80" w:type="dxa"/>
            </w:tcMar>
          </w:tcPr>
          <w:p>
            <w:pPr>
              <w:spacing w:after="0" w:line="240" w:lineRule="auto"/>
            </w:pPr>
            <w:r>
              <w:rPr>
                <w:rFonts w:ascii="Arial" w:hAnsi="Arial"/>
                <w:b/>
                <w:color w:val="FFFFFF"/>
                <w:sz w:val="18"/>
              </w:rPr>
              <w:t>Objetivo</w:t>
            </w:r>
          </w:p>
        </w:tc>
        <w:tc>
          <w:tcPr>
            <w:tcW w:type="dxa" w:w="1840"/>
            <w:shd w:fill="991B1B"/>
            <w:tcMar>
              <w:top w:w="80" w:type="dxa"/>
              <w:bottom w:w="80" w:type="dxa"/>
            </w:tcMar>
          </w:tcPr>
          <w:p>
            <w:pPr>
              <w:spacing w:after="0" w:line="240" w:lineRule="auto"/>
            </w:pPr>
            <w:r>
              <w:rPr>
                <w:rFonts w:ascii="Arial" w:hAnsi="Arial"/>
                <w:b/>
                <w:color w:val="FFFFFF"/>
                <w:sz w:val="18"/>
              </w:rPr>
              <w:t>Códigos declarados</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/api/v1/status</w:t>
            </w:r>
          </w:p>
        </w:tc>
        <w:tc>
          <w:tcPr>
            <w:tcW w:type="dxa" w:w="3987"/>
            <w:shd w:fill="FFFFFF"/>
            <w:tcMar>
              <w:top w:w="80" w:type="dxa"/>
              <w:bottom w:w="80" w:type="dxa"/>
            </w:tcMar>
          </w:tcPr>
          <w:p>
            <w:pPr>
              <w:spacing w:after="0" w:line="240" w:lineRule="auto"/>
            </w:pPr>
            <w:r>
              <w:rPr>
                <w:rFonts w:ascii="Arial" w:hAnsi="Arial"/>
                <w:b w:val="0"/>
                <w:color w:val="1F2933"/>
                <w:sz w:val="18"/>
              </w:rPr>
              <w:t>Estado, promedio, último error, versión e historial resumido</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r>
        <w:trPr>
          <w:cantSplit/>
        </w:trPr>
        <w:tc>
          <w:tcPr>
            <w:tcW w:type="dxa" w:w="1022"/>
            <w:shd w:fill="FFFFFF"/>
            <w:tcMar>
              <w:top w:w="80" w:type="dxa"/>
              <w:bottom w:w="80" w:type="dxa"/>
            </w:tcMar>
          </w:tcPr>
          <w:p>
            <w:pPr>
              <w:spacing w:after="0" w:line="240" w:lineRule="auto"/>
            </w:pPr>
            <w:r>
              <w:rPr>
                <w:rFonts w:ascii="Arial" w:hAnsi="Arial"/>
                <w:b w:val="0"/>
                <w:color w:val="1F2933"/>
                <w:sz w:val="18"/>
              </w:rPr>
              <w:t>GET</w:t>
            </w:r>
          </w:p>
        </w:tc>
        <w:tc>
          <w:tcPr>
            <w:tcW w:type="dxa" w:w="3374"/>
            <w:shd w:fill="FFFFFF"/>
            <w:tcMar>
              <w:top w:w="80" w:type="dxa"/>
              <w:bottom w:w="80" w:type="dxa"/>
            </w:tcMar>
          </w:tcPr>
          <w:p>
            <w:pPr>
              <w:spacing w:after="0" w:line="240" w:lineRule="auto"/>
            </w:pPr>
            <w:r>
              <w:rPr>
                <w:rFonts w:ascii="Arial" w:hAnsi="Arial"/>
                <w:b w:val="0"/>
                <w:i w:val="0"/>
                <w:color w:val="1F2933"/>
                <w:sz w:val="18"/>
              </w:rPr>
              <w:t>/api/v1/checks</w:t>
            </w:r>
          </w:p>
        </w:tc>
        <w:tc>
          <w:tcPr>
            <w:tcW w:type="dxa" w:w="3987"/>
            <w:shd w:fill="FFFFFF"/>
            <w:tcMar>
              <w:top w:w="80" w:type="dxa"/>
              <w:bottom w:w="80" w:type="dxa"/>
            </w:tcMar>
          </w:tcPr>
          <w:p>
            <w:pPr>
              <w:spacing w:after="0" w:line="240" w:lineRule="auto"/>
            </w:pPr>
            <w:r>
              <w:rPr>
                <w:rFonts w:ascii="Arial" w:hAnsi="Arial"/>
                <w:b w:val="0"/>
                <w:color w:val="1F2933"/>
                <w:sz w:val="18"/>
              </w:rPr>
              <w:t>Historial persistente de verificaciones</w:t>
            </w:r>
          </w:p>
        </w:tc>
        <w:tc>
          <w:tcPr>
            <w:tcW w:type="dxa" w:w="1840"/>
            <w:shd w:fill="FFFFFF"/>
            <w:tcMar>
              <w:top w:w="80" w:type="dxa"/>
              <w:bottom w:w="80" w:type="dxa"/>
            </w:tcMar>
          </w:tcPr>
          <w:p>
            <w:pPr>
              <w:spacing w:after="0" w:line="240" w:lineRule="auto"/>
            </w:pPr>
            <w:r>
              <w:rPr>
                <w:rFonts w:ascii="Arial" w:hAnsi="Arial"/>
                <w:b w:val="0"/>
                <w:color w:val="1F2933"/>
                <w:sz w:val="18"/>
              </w:rPr>
              <w:t>200, 400, 401, 403, 404, 406, 409, 413, 415, 422, 429, 500, 503</w:t>
            </w:r>
          </w:p>
        </w:tc>
      </w:tr>
    </w:tbl>
    <w:p/>
    <w:p>
      <w:r>
        <w:rPr>
          <w:b/>
          <w:i w:val="0"/>
        </w:rPr>
        <w:t>Entradas y salidas:</w:t>
      </w:r>
      <w:r>
        <w:t xml:space="preserve"> encabezados </w:t>
      </w:r>
      <w:r>
        <w:rPr>
          <w:b w:val="0"/>
          <w:i w:val="0"/>
        </w:rPr>
        <w:t>Authorization</w:t>
      </w:r>
      <w:r>
        <w:t xml:space="preserve">, </w:t>
      </w:r>
      <w:r>
        <w:rPr>
          <w:b w:val="0"/>
          <w:i w:val="0"/>
        </w:rPr>
        <w:t>Accept</w:t>
      </w:r>
      <w:r>
        <w:t xml:space="preserve">, </w:t>
      </w:r>
      <w:r>
        <w:rPr>
          <w:b w:val="0"/>
          <w:i w:val="0"/>
        </w:rPr>
        <w:t>Content-Type</w:t>
      </w:r>
      <w:r>
        <w:t xml:space="preserve">, </w:t>
      </w:r>
      <w:r>
        <w:rPr>
          <w:b w:val="0"/>
          <w:i w:val="0"/>
        </w:rPr>
        <w:t>X-Correlation-ID</w:t>
      </w:r>
      <w:r>
        <w:t xml:space="preserve"> y </w:t>
      </w:r>
      <w:r>
        <w:rPr>
          <w:b w:val="0"/>
          <w:i w:val="0"/>
        </w:rPr>
        <w:t>Idempotency-Key</w:t>
      </w:r>
      <w:r>
        <w:t xml:space="preserve"> según operación. Parámetros de ruta UUID y consulta/paginación constan en OpenAPI. Respuesta </w:t>
      </w:r>
      <w:r>
        <w:rPr>
          <w:b w:val="0"/>
          <w:i w:val="0"/>
        </w:rPr>
        <w:t>{data,meta}</w:t>
      </w:r>
      <w:r>
        <w:t xml:space="preserve"> o </w:t>
      </w:r>
      <w:r>
        <w:rPr>
          <w:b w:val="0"/>
          <w:i w:val="0"/>
        </w:rPr>
        <w:t>{error,meta}</w:t>
      </w:r>
      <w:r>
        <w:t>, con representación XML equivalente. El contrato interno añade encabezados de firma del servicio; los valores secretos están redactados en evidencia.</w:t>
      </w:r>
    </w:p>
    <w:p>
      <w:r>
        <w:rPr>
          <w:b/>
          <w:i w:val="0"/>
        </w:rPr>
        <w:t>Pruebas:</w:t>
      </w:r>
      <w:r>
        <w:t xml:space="preserve"> suite de </w:t>
      </w:r>
      <w:r>
        <w:rPr>
          <w:b w:val="0"/>
          <w:i w:val="0"/>
        </w:rPr>
        <w:t>apps/services/tests</w:t>
      </w:r>
      <w:r>
        <w:t xml:space="preserve">, expediente dinámico por método/ruta y pruebas Docker de negocio. Consultar </w:t>
      </w:r>
      <w:r>
        <w:rPr>
          <w:b w:val="0"/>
          <w:i w:val="0"/>
        </w:rPr>
        <w:t>RESULTADOS.md</w:t>
      </w:r>
      <w:r>
        <w:t xml:space="preserve"> para resultados reales y limitaciones; no se considera probado un endpoint solo por aparecer en esta tabla.</w:t>
      </w:r>
    </w:p>
    <w:p>
      <w:pPr>
        <w:pStyle w:val="Title"/>
        <w:pageBreakBefore/>
      </w:pPr>
      <w:bookmarkStart w:id="25" w:name="report_section_25"/>
      <w:r>
        <w:t>14. Referencias</w:t>
      </w:r>
      <w:bookmarkEnd w:id="25"/>
    </w:p>
    <w:p>
      <w:pPr>
        <w:pStyle w:val="Heading1"/>
      </w:pPr>
      <w:r>
        <w:t>Fuentes web</w:t>
      </w:r>
    </w:p>
    <w:p>
      <w:pPr>
        <w:ind w:left="720" w:hanging="720"/>
      </w:pPr>
      <w:r>
        <w:t xml:space="preserve">Docker. (s. f.). </w:t>
      </w:r>
      <w:r>
        <w:rPr>
          <w:b w:val="0"/>
          <w:i/>
        </w:rPr>
        <w:t>Networking in Compose</w:t>
      </w:r>
      <w:r>
        <w:t xml:space="preserve">. Docker Docs. </w:t>
      </w:r>
      <w:hyperlink r:id="rId15">
        <w:r>
          <w:t>https://docs.docker.com/compose/how-tos/networking/</w:t>
        </w:r>
      </w:hyperlink>
    </w:p>
    <w:p>
      <w:pPr>
        <w:ind w:left="720" w:hanging="720"/>
      </w:pPr>
      <w:r>
        <w:t xml:space="preserve">Google Cloud. (2026a, 21 de octubre). </w:t>
      </w:r>
      <w:r>
        <w:rPr>
          <w:b w:val="0"/>
          <w:i/>
        </w:rPr>
        <w:t>HTTP status and error codes for XML</w:t>
      </w:r>
      <w:r>
        <w:t xml:space="preserve">. </w:t>
      </w:r>
      <w:hyperlink r:id="rId16">
        <w:r>
          <w:t>https://docs.cloud.google.com/storage/docs/xml-api/reference-status</w:t>
        </w:r>
      </w:hyperlink>
    </w:p>
    <w:p>
      <w:pPr>
        <w:ind w:left="720" w:hanging="720"/>
      </w:pPr>
      <w:r>
        <w:t xml:space="preserve">Google Cloud. (2026b, 21 de octubre). </w:t>
      </w:r>
      <w:r>
        <w:rPr>
          <w:b w:val="0"/>
          <w:i/>
        </w:rPr>
        <w:t>IAM roles for Cloud Storage</w:t>
      </w:r>
      <w:r>
        <w:t xml:space="preserve">. </w:t>
      </w:r>
      <w:hyperlink r:id="rId17">
        <w:r>
          <w:t>https://docs.cloud.google.com/storage/docs/access-control/iam-roles</w:t>
        </w:r>
      </w:hyperlink>
    </w:p>
    <w:p>
      <w:pPr>
        <w:ind w:left="720" w:hanging="720"/>
      </w:pPr>
      <w:r>
        <w:t xml:space="preserve">Google Cloud. (2026c, 21 de octubre). </w:t>
      </w:r>
      <w:r>
        <w:rPr>
          <w:b w:val="0"/>
          <w:i/>
        </w:rPr>
        <w:t>V4 signing process with Cloud Storage tools</w:t>
      </w:r>
      <w:r>
        <w:t xml:space="preserve">. </w:t>
      </w:r>
      <w:hyperlink r:id="rId18">
        <w:r>
          <w:t>https://docs.cloud.google.com/storage/docs/access-control/signing-urls-with-helpers</w:t>
        </w:r>
      </w:hyperlink>
    </w:p>
    <w:p>
      <w:pPr>
        <w:ind w:left="720" w:hanging="720"/>
      </w:pPr>
      <w:r>
        <w:t xml:space="preserve">MongoDB, Inc. (s. f.). </w:t>
      </w:r>
      <w:r>
        <w:rPr>
          <w:b w:val="0"/>
          <w:i/>
        </w:rPr>
        <w:t>mongorestore</w:t>
      </w:r>
      <w:r>
        <w:t xml:space="preserve">. MongoDB Docs. </w:t>
      </w:r>
      <w:hyperlink r:id="rId19">
        <w:r>
          <w:t>https://www.mongodb.com/docs/database-tools/mongorestore/</w:t>
        </w:r>
      </w:hyperlink>
    </w:p>
    <w:p>
      <w:pPr>
        <w:ind w:left="720" w:hanging="720"/>
      </w:pPr>
      <w:r>
        <w:t xml:space="preserve">NGINX. (s. f.). </w:t>
      </w:r>
      <w:r>
        <w:rPr>
          <w:b w:val="0"/>
          <w:i/>
        </w:rPr>
        <w:t>Module ngx_http_proxy_module</w:t>
      </w:r>
      <w:r>
        <w:t xml:space="preserve">. </w:t>
      </w:r>
      <w:hyperlink r:id="rId20">
        <w:r>
          <w:t>https://nginx.org/en/docs/http/ngx_http_proxy_module.html</w:t>
        </w:r>
      </w:hyperlink>
    </w:p>
    <w:p>
      <w:pPr>
        <w:ind w:left="720" w:hanging="720"/>
      </w:pPr>
      <w:r>
        <w:t xml:space="preserve">Psycopg Team. (s. f.). </w:t>
      </w:r>
      <w:r>
        <w:rPr>
          <w:b w:val="0"/>
          <w:i/>
        </w:rPr>
        <w:t>Connection pools</w:t>
      </w:r>
      <w:r>
        <w:t xml:space="preserve">. Psycopg 3 documentation. </w:t>
      </w:r>
      <w:hyperlink r:id="rId21">
        <w:r>
          <w:t>https://www.psycopg.org/psycopg3/docs/advanced/pool.html</w:t>
        </w:r>
      </w:hyperlink>
    </w:p>
    <w:p>
      <w:pPr>
        <w:pStyle w:val="Heading1"/>
      </w:pPr>
      <w:r>
        <w:t>Documentación y artefactos del proyecto</w:t>
      </w:r>
    </w:p>
    <w:p>
      <w:pPr>
        <w:pStyle w:val="Caption"/>
      </w:pPr>
      <w:r>
        <w:t>Dockerfile: apps/services/ms_alertas/Dockerfile</w:t>
      </w:r>
    </w:p>
    <w:p>
      <w:pPr>
        <w:pStyle w:val="Caption"/>
      </w:pPr>
      <w:r>
        <w:t>Directorio JSON/XML/XSD: apps/services/ms_alertas/contracts</w:t>
      </w:r>
    </w:p>
    <w:p>
      <w:pPr>
        <w:pStyle w:val="Caption"/>
      </w:pPr>
      <w:r>
        <w:t>OpenAPI completo: apps/services/ms_alertas/contracts/openapi.json</w:t>
      </w:r>
    </w:p>
    <w:p>
      <w:pPr>
        <w:pStyle w:val="Caption"/>
      </w:pPr>
      <w:r>
        <w:t>Dockerfile: apps/services/ms_auditoria/Dockerfile</w:t>
      </w:r>
    </w:p>
    <w:p>
      <w:pPr>
        <w:pStyle w:val="Caption"/>
      </w:pPr>
      <w:r>
        <w:t>Directorio JSON/XML/XSD: apps/services/ms_auditoria/contracts</w:t>
      </w:r>
    </w:p>
    <w:p>
      <w:pPr>
        <w:pStyle w:val="Caption"/>
      </w:pPr>
      <w:r>
        <w:t>OpenAPI completo: apps/services/ms_auditoria/contracts/openapi.json</w:t>
      </w:r>
    </w:p>
    <w:p>
      <w:pPr>
        <w:pStyle w:val="Caption"/>
      </w:pPr>
      <w:r>
        <w:t>Dockerfile: apps/services/ms_compatibilidad/Dockerfile</w:t>
      </w:r>
    </w:p>
    <w:p>
      <w:pPr>
        <w:pStyle w:val="Caption"/>
      </w:pPr>
      <w:r>
        <w:t>Directorio JSON/XML/XSD: apps/services/ms_compatibilidad/contracts</w:t>
      </w:r>
    </w:p>
    <w:p>
      <w:pPr>
        <w:pStyle w:val="Caption"/>
      </w:pPr>
      <w:r>
        <w:t>OpenAPI completo: apps/services/ms_compatibilidad/contracts/openapi.json</w:t>
      </w:r>
    </w:p>
    <w:p>
      <w:pPr>
        <w:pStyle w:val="Caption"/>
      </w:pPr>
      <w:r>
        <w:t>Dockerfile: apps/services/ms_custodia/Dockerfile</w:t>
      </w:r>
    </w:p>
    <w:p>
      <w:pPr>
        <w:pStyle w:val="Caption"/>
      </w:pPr>
      <w:r>
        <w:t>Directorio JSON/XML/XSD: apps/services/ms_custodia/contracts</w:t>
      </w:r>
    </w:p>
    <w:p>
      <w:pPr>
        <w:pStyle w:val="Caption"/>
      </w:pPr>
      <w:r>
        <w:t>OpenAPI completo: apps/services/ms_custodia/contracts/openapi.json</w:t>
      </w:r>
    </w:p>
    <w:p>
      <w:pPr>
        <w:pStyle w:val="Caption"/>
      </w:pPr>
      <w:r>
        <w:t>Dockerfile: apps/services/ms_donantes/Dockerfile</w:t>
      </w:r>
    </w:p>
    <w:p>
      <w:pPr>
        <w:pStyle w:val="Caption"/>
      </w:pPr>
      <w:r>
        <w:t>Directorio JSON/XML/XSD: apps/services/ms_donantes/contracts</w:t>
      </w:r>
    </w:p>
    <w:p>
      <w:pPr>
        <w:pStyle w:val="Caption"/>
      </w:pPr>
      <w:r>
        <w:t>OpenAPI completo: apps/services/ms_donantes/contracts/openapi.json</w:t>
      </w:r>
    </w:p>
    <w:p>
      <w:pPr>
        <w:pStyle w:val="Caption"/>
      </w:pPr>
      <w:r>
        <w:t>Dockerfile: apps/services/ms_identidad_acceso/Dockerfile</w:t>
      </w:r>
    </w:p>
    <w:p>
      <w:pPr>
        <w:pStyle w:val="Caption"/>
      </w:pPr>
      <w:r>
        <w:t>Directorio JSON/XML/XSD: apps/services/ms_identidad_acceso/contracts</w:t>
      </w:r>
    </w:p>
    <w:p>
      <w:pPr>
        <w:pStyle w:val="Caption"/>
      </w:pPr>
      <w:r>
        <w:t>OpenAPI completo: apps/services/ms_identidad_acceso/contracts/openapi.json</w:t>
      </w:r>
    </w:p>
    <w:p>
      <w:pPr>
        <w:pStyle w:val="Caption"/>
      </w:pPr>
      <w:r>
        <w:t>Dockerfile: apps/services/ms_inventario/Dockerfile</w:t>
      </w:r>
    </w:p>
    <w:p>
      <w:pPr>
        <w:pStyle w:val="Caption"/>
      </w:pPr>
      <w:r>
        <w:t>Directorio JSON/XML/XSD: apps/services/ms_inventario/contracts</w:t>
      </w:r>
    </w:p>
    <w:p>
      <w:pPr>
        <w:pStyle w:val="Caption"/>
      </w:pPr>
      <w:r>
        <w:t>OpenAPI completo: apps/services/ms_inventario/contracts/openapi.json</w:t>
      </w:r>
    </w:p>
    <w:p>
      <w:pPr>
        <w:pStyle w:val="Caption"/>
      </w:pPr>
      <w:r>
        <w:t>Dockerfile: apps/services/ms_priorizacion_geografia/Dockerfile</w:t>
      </w:r>
    </w:p>
    <w:p>
      <w:pPr>
        <w:pStyle w:val="Caption"/>
      </w:pPr>
      <w:r>
        <w:t>Directorio JSON/XML/XSD: apps/services/ms_priorizacion_geografia/contracts</w:t>
      </w:r>
    </w:p>
    <w:p>
      <w:pPr>
        <w:pStyle w:val="Caption"/>
      </w:pPr>
      <w:r>
        <w:t>OpenAPI completo: apps/services/ms_priorizacion_geografia/contracts/openapi.json</w:t>
      </w:r>
    </w:p>
    <w:p>
      <w:pPr>
        <w:pStyle w:val="Caption"/>
      </w:pPr>
      <w:r>
        <w:t>Dockerfile: apps/services/ms_receptores/Dockerfile</w:t>
      </w:r>
    </w:p>
    <w:p>
      <w:pPr>
        <w:pStyle w:val="Caption"/>
      </w:pPr>
      <w:r>
        <w:t>Directorio JSON/XML/XSD: apps/services/ms_receptores/contracts</w:t>
      </w:r>
    </w:p>
    <w:p>
      <w:pPr>
        <w:pStyle w:val="Caption"/>
      </w:pPr>
      <w:r>
        <w:t>OpenAPI completo: apps/services/ms_receptores/contracts/openapi.json</w:t>
      </w:r>
    </w:p>
    <w:p>
      <w:pPr>
        <w:pStyle w:val="Caption"/>
      </w:pPr>
      <w:r>
        <w:t>Dockerfile: apps/services/ms_transporte/Dockerfile</w:t>
      </w:r>
    </w:p>
    <w:p>
      <w:pPr>
        <w:pStyle w:val="Caption"/>
      </w:pPr>
      <w:r>
        <w:t>Directorio JSON/XML/XSD: apps/services/ms_transporte/contracts</w:t>
      </w:r>
    </w:p>
    <w:p>
      <w:pPr>
        <w:pStyle w:val="Caption"/>
      </w:pPr>
      <w:r>
        <w:t>OpenAPI completo: apps/services/ms_transporte/contracts/openapi.json</w:t>
      </w:r>
    </w:p>
    <w:p>
      <w:pPr>
        <w:pStyle w:val="Caption"/>
      </w:pPr>
      <w:r>
        <w:t>Dockerfile: apps/services/servicio_monitoreo/Dockerfile</w:t>
      </w:r>
    </w:p>
    <w:p>
      <w:pPr>
        <w:pStyle w:val="Caption"/>
      </w:pPr>
      <w:r>
        <w:t>Directorio JSON/XML/XSD: apps/services/servicio_monitoreo/contracts</w:t>
      </w:r>
    </w:p>
    <w:p>
      <w:pPr>
        <w:pStyle w:val="Caption"/>
      </w:pPr>
      <w:r>
        <w:t>OpenAPI completo: apps/services/servicio_monitoreo/contracts/openapi.json</w:t>
      </w:r>
    </w:p>
    <w:p>
      <w:pPr>
        <w:pStyle w:val="Caption"/>
      </w:pPr>
      <w:r>
        <w:t>deployment/README.md: deployment/README.md</w:t>
      </w:r>
    </w:p>
    <w:p>
      <w:pPr>
        <w:pStyle w:val="Caption"/>
      </w:pPr>
      <w:r>
        <w:t>resultados de validación: documentation/evidencias/segundo-parcial/RESULTADOS.md</w:t>
      </w:r>
    </w:p>
    <w:p>
      <w:pPr>
        <w:pStyle w:val="Caption"/>
      </w:pPr>
      <w:r>
        <w:t>Validación en navegador: documentation/evidencias/segundo-parcial/browser/browser-results.json</w:t>
      </w:r>
    </w:p>
    <w:p>
      <w:pPr>
        <w:pStyle w:val="Caption"/>
      </w:pPr>
      <w:r>
        <w:t>evidencia del clon: documentation/evidencias/segundo-parcial/clean-clone.json</w:t>
      </w:r>
    </w:p>
    <w:p>
      <w:pPr>
        <w:pStyle w:val="Caption"/>
      </w:pPr>
      <w:r>
        <w:t>Controles Docker: documentation/evidencias/segundo-parcial/docker-release/docker-results.json</w:t>
      </w:r>
    </w:p>
    <w:p>
      <w:pPr>
        <w:pStyle w:val="Caption"/>
      </w:pPr>
      <w:r>
        <w:t>Validación GCS: documentation/evidencias/segundo-parcial/gcs-real.json</w:t>
      </w:r>
    </w:p>
    <w:p>
      <w:pPr>
        <w:pStyle w:val="Caption"/>
      </w:pPr>
      <w:r>
        <w:t>Ejecuciones HTTP / expediente HTTP: documentation/evidencias/segundo-parcial/http/index.html</w:t>
      </w:r>
    </w:p>
    <w:p>
      <w:pPr>
        <w:pStyle w:val="Caption"/>
      </w:pPr>
      <w:r>
        <w:t>Prueba de proyección: documentation/evidencias/segundo-parcial/mongo-projection.json</w:t>
      </w:r>
    </w:p>
    <w:p>
      <w:pPr>
        <w:pStyle w:val="Caption"/>
      </w:pPr>
      <w:r>
        <w:t>JUnit de regresión: documentation/evidencias/segundo-parcial/regresion-final.xml</w:t>
      </w:r>
    </w:p>
    <w:p>
      <w:pPr>
        <w:pStyle w:val="Caption"/>
      </w:pPr>
      <w:r>
        <w:t>JUnit de salud: documentation/evidencias/segundo-parcial/salud-complementaria.xml</w:t>
      </w:r>
    </w:p>
    <w:p>
      <w:pPr>
        <w:pStyle w:val="Caption"/>
      </w:pPr>
      <w:r>
        <w:t>validación de sesiones: documentation/evidencias/sesiones-redis/RESULTADOS.md</w:t>
      </w:r>
    </w:p>
    <w:p>
      <w:pPr>
        <w:pStyle w:val="Caption"/>
      </w:pPr>
      <w:r>
        <w:t>Restauración de sesiones: documentation/evidencias/sesiones-redis/backup-restore.json</w:t>
      </w:r>
    </w:p>
    <w:p>
      <w:pPr>
        <w:pStyle w:val="Caption"/>
      </w:pPr>
      <w:r>
        <w:t>Sesiones en Docker: documentation/evidencias/sesiones-redis/docker.json</w:t>
      </w:r>
    </w:p>
    <w:p>
      <w:pPr>
        <w:pStyle w:val="Caption"/>
      </w:pPr>
      <w:r>
        <w:t>JUnit de sesiones y web: documentation/evidencias/sesiones-redis/regresion.xml</w:t>
      </w:r>
    </w:p>
    <w:p>
      <w:pPr>
        <w:pStyle w:val="Caption"/>
      </w:pPr>
      <w:r>
        <w:t>JUnit del módulo: documentation/evidencias/sesiones-redis/sesiones-final.xml</w:t>
      </w:r>
    </w:p>
    <w:p>
      <w:pPr>
        <w:pStyle w:val="Caption"/>
      </w:pPr>
      <w:r>
        <w:t>Algoritmos: documentation/markdowns/Algoritmos.md</w:t>
      </w:r>
    </w:p>
    <w:p>
      <w:pPr>
        <w:pStyle w:val="Caption"/>
      </w:pPr>
      <w:r>
        <w:t>matriz de cierre: documentation/markdowns/Cierre_segundo_parcial.md</w:t>
      </w:r>
    </w:p>
    <w:p>
      <w:pPr>
        <w:pStyle w:val="Caption"/>
      </w:pPr>
      <w:r>
        <w:t>Esquema compartido: documentation/markdowns/Esquema_compartido.md</w:t>
      </w:r>
    </w:p>
    <w:p>
      <w:pPr>
        <w:pStyle w:val="Caption"/>
      </w:pPr>
      <w:r>
        <w:t>fichas individuales: documentation/segundo-parcial/Fichas_microservicios.md</w:t>
      </w:r>
    </w:p>
    <w:p>
      <w:pPr>
        <w:pStyle w:val="Caption"/>
      </w:pPr>
      <w:r>
        <w:t>catálogo físico / catálogo físico completo: documentation/segundo-parcial/Modelo_fisico.md</w:t>
      </w:r>
    </w:p>
    <w:sectPr w:rsidR="00FC693F" w:rsidRPr="0006063C" w:rsidSect="00034616">
      <w:footerReference w:type="default" r:id="rId9"/>
      <w:pgSz w:w="12240" w:h="15840"/>
      <w:pgMar w:top="979" w:right="1008" w:bottom="979"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sidR="00000000" w:rsidDel="00000000" w:rsidP="00000000" w:rsidRDefault="00000000" w:rsidRPr="00000000" w14:paraId="00002C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f2933"/>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374151"/>
        <w:sz w:val="17"/>
        <w:szCs w:val="17"/>
        <w:u w:val="none"/>
        <w:shd w:fill="auto" w:val="clear"/>
        <w:vertAlign w:val="baseline"/>
        <w:rtl w:val="0"/>
      </w:rPr>
      <w:t xml:space="preserve">Equipo 01  ·  </w:t>
    </w:r>
    <w:r w:rsidDel="00000000" w:rsidR="00000000" w:rsidRPr="00000000">
      <w:rPr>
        <w:rFonts w:ascii="Arial" w:cs="Arial" w:eastAsia="Arial" w:hAnsi="Arial"/>
        <w:b w:val="0"/>
        <w:bCs w:val="0"/>
        <w:i w:val="0"/>
        <w:iCs w:val="0"/>
        <w:smallCaps w:val="0"/>
        <w:strike w:val="0"/>
        <w:color w:val="374151"/>
        <w:sz w:val="17"/>
        <w:szCs w:val="17"/>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color w:val="1f2933"/>
        <w:sz w:val="21"/>
        <w:szCs w:val="21"/>
        <w:lang w:val="en"/>
      </w:rPr>
    </w:rPrDefault>
    <w:pPrDefault>
      <w:pPr>
        <w:spacing w:after="12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keepNext w:val="1"/>
      <w:keepLines w:val="1"/>
      <w:spacing w:after="120" w:before="260" w:lineRule="auto"/>
    </w:pPr>
    <w:rPr>
      <w:rFonts w:ascii="Arial" w:cs="Arial" w:eastAsia="Arial" w:hAnsi="Arial"/>
      <w:b w:val="1"/>
      <w:bCs w:val="1"/>
      <w:color w:val="991b1b"/>
      <w:sz w:val="30"/>
      <w:szCs w:val="30"/>
    </w:rPr>
  </w:style>
  <w:style w:type="paragraph" w:styleId="Heading2">
    <w:name w:val="heading 2"/>
    <w:basedOn w:val="Normal"/>
    <w:next w:val="Normal"/>
    <w:pPr>
      <w:keepNext w:val="1"/>
      <w:keepLines w:val="1"/>
      <w:spacing w:after="80" w:before="200" w:lineRule="auto"/>
    </w:pPr>
    <w:rPr>
      <w:rFonts w:ascii="Arial" w:cs="Arial" w:eastAsia="Arial" w:hAnsi="Arial"/>
      <w:b w:val="1"/>
      <w:bCs w:val="1"/>
      <w:color w:val="374151"/>
      <w:sz w:val="24"/>
      <w:szCs w:val="24"/>
    </w:rPr>
  </w:style>
  <w:style w:type="paragraph" w:styleId="Heading3">
    <w:name w:val="heading 3"/>
    <w:basedOn w:val="Normal"/>
    <w:next w:val="Normal"/>
    <w:pPr>
      <w:keepNext w:val="1"/>
      <w:keepLines w:val="1"/>
      <w:spacing w:after="60" w:before="160" w:lineRule="auto"/>
    </w:pPr>
    <w:rPr>
      <w:rFonts w:ascii="Arial" w:cs="Arial" w:eastAsia="Arial" w:hAnsi="Arial"/>
      <w:b w:val="1"/>
      <w:bCs w:val="1"/>
      <w:color w:val="374151"/>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8E243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pBdr>
        <w:bottom w:color="4f81bd" w:space="4" w:sz="8" w:val="single"/>
      </w:pBdr>
      <w:spacing w:after="280" w:line="240" w:lineRule="auto"/>
    </w:pPr>
    <w:rPr>
      <w:rFonts w:ascii="Arial" w:cs="Arial" w:eastAsia="Arial" w:hAnsi="Arial"/>
      <w:b w:val="1"/>
      <w:bCs w:val="1"/>
      <w:color w:val="7f1d1d"/>
      <w:sz w:val="44"/>
      <w:szCs w:val="4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docs.docker.com/compose/how-tos/networking/" TargetMode="External"/><Relationship Id="rId16" Type="http://schemas.openxmlformats.org/officeDocument/2006/relationships/hyperlink" Target="https://docs.cloud.google.com/storage/docs/xml-api/reference-status" TargetMode="External"/><Relationship Id="rId17" Type="http://schemas.openxmlformats.org/officeDocument/2006/relationships/hyperlink" Target="https://docs.cloud.google.com/storage/docs/access-control/iam-roles" TargetMode="External"/><Relationship Id="rId18" Type="http://schemas.openxmlformats.org/officeDocument/2006/relationships/hyperlink" Target="https://docs.cloud.google.com/storage/docs/access-control/signing-urls-with-helpers" TargetMode="External"/><Relationship Id="rId19" Type="http://schemas.openxmlformats.org/officeDocument/2006/relationships/hyperlink" Target="https://www.mongodb.com/docs/database-tools/mongorestore/" TargetMode="External"/><Relationship Id="rId20" Type="http://schemas.openxmlformats.org/officeDocument/2006/relationships/hyperlink" Target="https://nginx.org/en/docs/http/ngx_http_proxy_module.html" TargetMode="External"/><Relationship Id="rId21" Type="http://schemas.openxmlformats.org/officeDocument/2006/relationships/hyperlink" Target="https://www.psycopg.org/psycopg3/docs/advanced/pool.html"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