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A41C8" w14:textId="014BD839" w:rsidR="00D82B5B" w:rsidRDefault="005442E8" w:rsidP="00F7648E">
      <w:pPr>
        <w:pStyle w:val="Titre1"/>
        <w:jc w:val="center"/>
      </w:pPr>
      <w:r>
        <w:t xml:space="preserve">Creating a </w:t>
      </w:r>
      <w:r w:rsidR="002014EC">
        <w:t>fertile</w:t>
      </w:r>
      <w:r>
        <w:t xml:space="preserve"> ground for</w:t>
      </w:r>
      <w:r w:rsidR="005D4C6E">
        <w:t xml:space="preserve"> marine</w:t>
      </w:r>
      <w:r>
        <w:t xml:space="preserve"> conservation: NGO</w:t>
      </w:r>
      <w:r w:rsidR="002014EC">
        <w:t>s can</w:t>
      </w:r>
      <w:r>
        <w:t xml:space="preserve"> influence</w:t>
      </w:r>
      <w:r w:rsidR="005D4C6E">
        <w:t xml:space="preserve"> </w:t>
      </w:r>
      <w:r w:rsidR="008B5FED">
        <w:t xml:space="preserve">people’s perceptions </w:t>
      </w:r>
      <w:r>
        <w:t>o</w:t>
      </w:r>
      <w:r w:rsidR="008B5FED">
        <w:t>n</w:t>
      </w:r>
      <w:r>
        <w:t xml:space="preserve"> local</w:t>
      </w:r>
      <w:r w:rsidR="00B40D79">
        <w:t xml:space="preserve"> environmental</w:t>
      </w:r>
      <w:r>
        <w:t xml:space="preserve"> issues</w:t>
      </w:r>
    </w:p>
    <w:p w14:paraId="4B4A7934" w14:textId="0318ACD7" w:rsidR="00A076EC" w:rsidRDefault="00A076EC" w:rsidP="00A076EC"/>
    <w:p w14:paraId="349CF06C" w14:textId="5644FF67" w:rsidR="00A076EC" w:rsidRDefault="00A076EC" w:rsidP="00A076EC">
      <w:r w:rsidRPr="000C45D5">
        <w:t>Main message</w:t>
      </w:r>
      <w:r>
        <w:t xml:space="preserve">: NGOs can influence the </w:t>
      </w:r>
      <w:r w:rsidR="005D4C6E">
        <w:t>way local people perceive</w:t>
      </w:r>
      <w:r>
        <w:t xml:space="preserve"> environmental issues towards </w:t>
      </w:r>
      <w:r w:rsidR="007E141E">
        <w:t xml:space="preserve">a </w:t>
      </w:r>
      <w:r>
        <w:t>better-informed</w:t>
      </w:r>
      <w:r w:rsidR="007E141E">
        <w:t xml:space="preserve"> and</w:t>
      </w:r>
      <w:r w:rsidR="009300F8">
        <w:t xml:space="preserve"> more</w:t>
      </w:r>
      <w:r w:rsidR="007E141E">
        <w:t xml:space="preserve"> homogenous</w:t>
      </w:r>
      <w:r>
        <w:t xml:space="preserve"> </w:t>
      </w:r>
      <w:r w:rsidR="007E141E">
        <w:t>discourse aligning with scientists and decision-makers</w:t>
      </w:r>
      <w:r>
        <w:t xml:space="preserve">, </w:t>
      </w:r>
      <w:r w:rsidR="009300F8">
        <w:t xml:space="preserve">potentially </w:t>
      </w:r>
      <w:r>
        <w:t xml:space="preserve">providing a more </w:t>
      </w:r>
      <w:r w:rsidR="009300F8">
        <w:t>fertile</w:t>
      </w:r>
      <w:r>
        <w:t xml:space="preserve"> ground for </w:t>
      </w:r>
      <w:r w:rsidR="005D4C6E">
        <w:t>marine conservation</w:t>
      </w:r>
      <w:r>
        <w:t>.</w:t>
      </w:r>
    </w:p>
    <w:p w14:paraId="3006F1CE" w14:textId="15772815" w:rsidR="009300F8" w:rsidRDefault="009300F8" w:rsidP="00A076EC"/>
    <w:p w14:paraId="1749629B" w14:textId="6A448085" w:rsidR="009300F8" w:rsidRDefault="009300F8" w:rsidP="00A076EC">
      <w:r>
        <w:t>Abstract:</w:t>
      </w:r>
    </w:p>
    <w:p w14:paraId="1B788738" w14:textId="77777777" w:rsidR="000C45D5" w:rsidRDefault="000C45D5" w:rsidP="00A076EC"/>
    <w:p w14:paraId="7F438C1E" w14:textId="7CFD49F2" w:rsidR="00A076EC" w:rsidRDefault="00A076EC" w:rsidP="00A076EC">
      <w:pPr>
        <w:pStyle w:val="Titre2"/>
      </w:pPr>
      <w:commentRangeStart w:id="0"/>
      <w:r>
        <w:t>1. Introduction</w:t>
      </w:r>
      <w:commentRangeEnd w:id="0"/>
      <w:r w:rsidR="00370DED">
        <w:rPr>
          <w:rStyle w:val="Marquedecommentaire"/>
          <w:rFonts w:asciiTheme="minorHAnsi" w:eastAsiaTheme="minorHAnsi" w:hAnsiTheme="minorHAnsi" w:cstheme="minorBidi"/>
          <w:color w:val="auto"/>
        </w:rPr>
        <w:commentReference w:id="0"/>
      </w:r>
    </w:p>
    <w:p w14:paraId="417D22BB" w14:textId="77777777" w:rsidR="005D4C6E" w:rsidRDefault="005D4C6E" w:rsidP="005D4C6E"/>
    <w:p w14:paraId="1B649A92" w14:textId="38D79508" w:rsidR="005D4C6E" w:rsidRDefault="00A076EC" w:rsidP="005D4C6E">
      <w:r w:rsidRPr="005D4C6E">
        <w:rPr>
          <w:color w:val="A5A5A5" w:themeColor="accent3"/>
        </w:rPr>
        <w:t xml:space="preserve">/Problem statement/ </w:t>
      </w:r>
    </w:p>
    <w:p w14:paraId="0E091966" w14:textId="043C736B" w:rsidR="005D4C6E" w:rsidRDefault="00A076EC" w:rsidP="005D4C6E">
      <w:pPr>
        <w:pStyle w:val="Paragraphedeliste"/>
        <w:numPr>
          <w:ilvl w:val="0"/>
          <w:numId w:val="2"/>
        </w:numPr>
      </w:pPr>
      <w:r>
        <w:t>Community-based management of natural resources has been praised as a way to tackle the degradation of ecosystems and improve human wellbeing</w:t>
      </w:r>
      <w:r w:rsidR="00AD19EE">
        <w:t xml:space="preserve"> </w:t>
      </w:r>
      <w:r w:rsidR="00AD19EE">
        <w:fldChar w:fldCharType="begin" w:fldLock="1"/>
      </w:r>
      <w:r w:rsidR="00AD19EE">
        <w:instrText>ADDIN CSL_CITATION {"citationItems":[{"id":"ITEM-1","itemData":{"DOI":"10.3390/su10093147","ISSN":"2071-1050","abstract":"&lt;p&gt;Across the Pacific Islands, declining natural resources have contributed to a cultural renaissance of customary ridge-to-reef management approaches. These indigenous and community conserved areas (ICCA) are initiated by local communities to protect natural resources through customary laws. To support these efforts, managers require scientific tools that track land-sea linkages and evaluate how local management scenarios affect coral reefs. We established an interdisciplinary process and modeling framework to inform ridge-to-reef management in Hawai‘i, given increasing coastal development, fishing and climate change related impacts. We applied our framework at opposite ends of the Hawaiian Archipelago, in Hā‘ena and Ka‘ūpūlehu, where local communities have implemented customary resource management approaches through government-recognized processes to perpetuate traditional food systems and cultural practices. We identified coral reefs vulnerable to groundwater-based nutrients and linked them to areas on land, where appropriate management of human-derived nutrients could prevent increases in benthic algae and promote coral recovery from bleaching. Our results demonstrate the value of interdisciplinary collaborations among researchers, managers and community members. We discuss the lessons learned from our culturally-grounded, inclusive research process and highlight critical aspects of collaboration necessary to develop tools that can inform placed-based solutions to local environmental threats and foster coral reef resilience.&lt;/p&gt;","author":[{"dropping-particle":"","family":"Delevaux","given":"Jade","non-dropping-particle":"","parse-names":false,"suffix":""},{"dropping-particle":"","family":"Winter","given":"Kawika","non-dropping-particle":"","parse-names":false,"suffix":""},{"dropping-particle":"","family":"Jupiter","given":"Stacy","non-dropping-particle":"","parse-names":false,"suffix":""},{"dropping-particle":"","family":"Blaich-Vaughan","given":"Mehana","non-dropping-particle":"","parse-names":false,"suffix":""},{"dropping-particle":"","family":"Stamoulis","given":"Kostantinos","non-dropping-particle":"","parse-names":false,"suffix":""},{"dropping-particle":"","family":"Bremer","given":"Leah","non-dropping-particle":"","parse-names":false,"suffix":""},{"dropping-particle":"","family":"Burnett","given":"Kimberly","non-dropping-particle":"","parse-names":false,"suffix":""},{"dropping-particle":"","family":"Garrod","given":"Peter","non-dropping-particle":"","parse-names":false,"suffix":""},{"dropping-particle":"","family":"Troller","given":"Jacquelyn","non-dropping-particle":"","parse-names":false,"suffix":""},{"dropping-particle":"","family":"Ticktin","given":"Tamara","non-dropping-particle":"","parse-names":false,"suffix":""},{"dropping-particle":"","family":"Delevaux","given":"Jade M.S.","non-dropping-particle":"","parse-names":false,"suffix":""},{"dropping-particle":"","family":"Winter","given":"Kawika B.","non-dropping-particle":"","parse-names":false,"suffix":""},{"dropping-particle":"","family":"Jupiter","given":"Stacy D.","non-dropping-particle":"","parse-names":false,"suffix":""},{"dropping-particle":"","family":"Blaich-Vaughan","given":"Mehana","non-dropping-particle":"","parse-names":false,"suffix":""},{"dropping-particle":"","family":"Stamoulis","given":"Kostantinos A.","non-dropping-particle":"","parse-names":false,"suffix":""},{"dropping-particle":"","family":"Bremer","given":"Leah L.","non-dropping-particle":"","parse-names":false,"suffix":""},{"dropping-particle":"","family":"Burnett","given":"Kimberly","non-dropping-particle":"","parse-names":false,"suffix":""},{"dropping-particle":"","family":"Garrod","given":"Peter","non-dropping-particle":"","parse-names":false,"suffix":""},{"dropping-particle":"","family":"Troller","given":"Jacquelyn L.","non-dropping-particle":"","parse-names":false,"suffix":""},{"dropping-particle":"","family":"Ticktin","given":"Tamara","non-dropping-particle":"","parse-names":false,"suffix":""}],"container-title":"Sustainability","id":"ITEM-1","issue":"9","issued":{"date-parts":[["2018"]]},"page":"3147","title":"Linking Land and Sea through Collaborative Research to Inform Contemporary applications of Traditional Resource Management in Hawai‘i","type":"article-journal","volume":"10"},"uris":["http://www.mendeley.com/documents/?uuid=6a6b912d-bf2c-4c34-ad37-567b4115a480"]}],"mendeley":{"formattedCitation":"(Delevaux et al., 2018)","plainTextFormattedCitation":"(Delevaux et al., 2018)","previouslyFormattedCitation":"(Delevaux et al., 2018)"},"properties":{"noteIndex":0},"schema":"https://github.com/citation-style-language/schema/raw/master/csl-citation.json"}</w:instrText>
      </w:r>
      <w:r w:rsidR="00AD19EE">
        <w:fldChar w:fldCharType="separate"/>
      </w:r>
      <w:r w:rsidR="00AD19EE" w:rsidRPr="00AD19EE">
        <w:rPr>
          <w:noProof/>
        </w:rPr>
        <w:t>(Delevaux et al., 2018)</w:t>
      </w:r>
      <w:r w:rsidR="00AD19EE">
        <w:fldChar w:fldCharType="end"/>
      </w:r>
      <w:r w:rsidR="00AD19EE">
        <w:t>.</w:t>
      </w:r>
    </w:p>
    <w:p w14:paraId="7F16C288" w14:textId="30393851" w:rsidR="005D4C6E" w:rsidRDefault="0045546F" w:rsidP="005D4C6E">
      <w:pPr>
        <w:pStyle w:val="Paragraphedeliste"/>
        <w:numPr>
          <w:ilvl w:val="0"/>
          <w:numId w:val="2"/>
        </w:numPr>
      </w:pPr>
      <w:r>
        <w:t>Many environmental NGOs are dedicated to foster the involvement of communities in such processes</w:t>
      </w:r>
      <w:r w:rsidR="00AD19EE">
        <w:t xml:space="preserve"> </w:t>
      </w:r>
      <w:r w:rsidR="00AD19EE">
        <w:fldChar w:fldCharType="begin" w:fldLock="1"/>
      </w:r>
      <w:r w:rsidR="00AD19EE">
        <w:instrText>ADDIN CSL_CITATION {"citationItems":[{"id":"ITEM-1","itemData":{"ISBN":"0921-8009","ISSN":"09246460","abstract":"This paper draws together evidence from a number of studies on the impacts of natural resource devolution policies in several Asian and southern African countries from the perspective of local people. Devolution outcomes are assessed in terms of who has greater benefits and decision-making authority. Factors that have influenced the devolution process are also examined.","author":[{"dropping-particle":"","family":"Shackleton","given":"Sheona","non-dropping-particle":"","parse-names":false,"suffix":""},{"dropping-particle":"","family":"Campbell","given":"Bruce","non-dropping-particle":"","parse-names":false,"suffix":""},{"dropping-particle":"","family":"Wollenberg","given":"Eva","non-dropping-particle":"","parse-names":false,"suffix":""},{"dropping-particle":"","family":"Edmunds","given":"David","non-dropping-particle":"","parse-names":false,"suffix":""}],"container-title":"Natural Resource Perspectives","id":"ITEM-1","issue":"76","issued":{"date-parts":[["2002"]]},"page":"1-6","title":"Devolution and Community-Based Natural Resource Management: Creating Space for Local People to Participate and Benefit?","type":"article-journal","volume":"76"},"uris":["http://www.mendeley.com/documents/?uuid=668edd2e-3bcf-4de5-b164-d128da457a93"]},{"id":"ITEM-2","itemData":{"DOI":"10.1016/S0308-597X(97)00016-X","ISSN":"0308597X","author":[{"dropping-particle":"","family":"Pomeroy","given":"Robert S.","non-dropping-particle":"","parse-names":false,"suffix":""},{"dropping-particle":"","family":"Carlos","given":"Melvin B.","non-dropping-particle":"","parse-names":false,"suffix":""}],"container-title":"Marine Policy","id":"ITEM-2","issue":"5","issued":{"date-parts":[["1997"]]},"page":"445-464","title":"Community-based coastal resource management in the Philippines: A review and evaluation of programs and projects, 1984-1994","type":"article-journal","volume":"21"},"uris":["http://www.mendeley.com/documents/?uuid=6f5c2de9-ae09-40d4-833e-e2706cb8ee79"]}],"mendeley":{"formattedCitation":"(Pomeroy &amp; Carlos, 1997; Shackleton, Campbell, Wollenberg, &amp; Edmunds, 2002)","plainTextFormattedCitation":"(Pomeroy &amp; Carlos, 1997; Shackleton, Campbell, Wollenberg, &amp; Edmunds, 2002)","previouslyFormattedCitation":"(Pomeroy &amp; Carlos, 1997; Shackleton, Campbell, Wollenberg, &amp; Edmunds, 2002)"},"properties":{"noteIndex":0},"schema":"https://github.com/citation-style-language/schema/raw/master/csl-citation.json"}</w:instrText>
      </w:r>
      <w:r w:rsidR="00AD19EE">
        <w:fldChar w:fldCharType="separate"/>
      </w:r>
      <w:r w:rsidR="00AD19EE" w:rsidRPr="00AD19EE">
        <w:rPr>
          <w:noProof/>
        </w:rPr>
        <w:t>(Pomeroy &amp; Carlos, 1997; Shackleton, Campbell, Wollenberg, &amp; Edmunds, 2002)</w:t>
      </w:r>
      <w:r w:rsidR="00AD19EE">
        <w:fldChar w:fldCharType="end"/>
      </w:r>
      <w:r>
        <w:t xml:space="preserve">. </w:t>
      </w:r>
      <w:r w:rsidR="00F55EC5">
        <w:t xml:space="preserve">But </w:t>
      </w:r>
      <w:r w:rsidR="009300F8">
        <w:t>these NGOs</w:t>
      </w:r>
      <w:r w:rsidR="00F55EC5">
        <w:t xml:space="preserve"> can also generate conflict over rights of use (</w:t>
      </w:r>
      <w:r w:rsidR="00F55EC5" w:rsidRPr="00F55EC5">
        <w:rPr>
          <w:highlight w:val="yellow"/>
        </w:rPr>
        <w:t>REF</w:t>
      </w:r>
      <w:r w:rsidR="009300F8">
        <w:t xml:space="preserve"> -&gt; </w:t>
      </w:r>
      <w:r w:rsidR="00F55EC5">
        <w:t>terrestrial PAs?)</w:t>
      </w:r>
    </w:p>
    <w:p w14:paraId="5BD79116" w14:textId="15B87A56" w:rsidR="00A076EC" w:rsidRDefault="0045546F" w:rsidP="005D4C6E">
      <w:pPr>
        <w:pStyle w:val="Paragraphedeliste"/>
        <w:numPr>
          <w:ilvl w:val="0"/>
          <w:numId w:val="2"/>
        </w:numPr>
      </w:pPr>
      <w:r>
        <w:t>The study of perceptions on environmental issues (e.g. threats, solutions</w:t>
      </w:r>
      <w:r w:rsidR="004873F6">
        <w:t>, specific aspects of management</w:t>
      </w:r>
      <w:r>
        <w:t>) has been proven helpful in revealing how different actors engage, or can engage in natural resource management</w:t>
      </w:r>
      <w:r w:rsidR="00AD19EE">
        <w:t xml:space="preserve"> </w:t>
      </w:r>
      <w:r w:rsidR="00AD19EE">
        <w:fldChar w:fldCharType="begin" w:fldLock="1"/>
      </w:r>
      <w:r w:rsidR="00AD19EE">
        <w:instrText>ADDIN CSL_CITATION {"citationItems":[{"id":"ITEM-1","itemData":{"DOI":"10.1016/j.envdev.2020.100524","ISSN":"22114645","author":[{"dropping-particle":"","family":"Choe","given":"Yunseon","non-dropping-particle":"","parse-names":false,"suffix":""},{"dropping-particle":"","family":"Schuett","given":"Michael A.","non-dropping-particle":"","parse-names":false,"suffix":""}],"container-title":"Environmental Development","id":"ITEM-1","issued":{"date-parts":[["2020"]]},"note":"Example of content analysis and codes.","page":"100524","publisher":"Elsevier B.V.","title":"Stakeholders’ perceptions of social and environmental changes affecting Everglades National Park in South Florida","type":"article-journal"},"uris":["http://www.mendeley.com/documents/?uuid=17c1bd90-1e56-405a-b968-fd1a2d7de39f"]},{"id":"ITEM-2","itemData":{"DOI":"10.1016/j.marpol.2012.02.022","ISSN":"0308597X","abstract":"Conservation organizations often invest considerable resources in education and outreach activities in and around marine protected areas (MPAs). The expectation is that such efforts will change local knowledge, attitudes and ultimately behavior. This is one of the first studies to assess the efficacy of using education and outreach activities to improve community knowledge and attitudes about an MPA. Random sample surveys in 2005 and 2010 (. n=1213) before and after education and outreach activities are compared. Program budgets for the same period give the investment levels. With an investment level averaging US$24 per capita/year, the result was an average increase of 33% in \"yes\" responses across 15 indicators of knowledge and attitudes towards marine conservation. The increase in knowledge and positive attitudes was associated with a large decrease in \"not sure\" responses, suggesting that community members with fewer initial preconceptions are the most effective target for education and outreach activities. This study demonstrates that investments in MPA education and outreach can generate increases in local knowledge and positive attitudes, and changing knowledge and attitudes is expected to contribute to the long-term compliance with MPA regulations. © 2012 Elsevier Ltd.","author":[{"dropping-particle":"","family":"Leisher","given":"Craig","non-dropping-particle":"","parse-names":false,"suffix":""},{"dropping-particle":"","family":"Mangubhai","given":"Sangeeta","non-dropping-particle":"","parse-names":false,"suffix":""},{"dropping-particle":"","family":"Hess","given":"Sebastiaan","non-dropping-particle":"","parse-names":false,"suffix":""},{"dropping-particle":"","family":"Widodo","given":"Hesti","non-dropping-particle":"","parse-names":false,"suffix":""},{"dropping-particle":"","family":"Soekirman","given":"Tri","non-dropping-particle":"","parse-names":false,"suffix":""},{"dropping-particle":"","family":"Tjoe","given":"Salomina","non-dropping-particle":"","parse-names":false,"suffix":""},{"dropping-particle":"","family":"Wawiyai","given":"Stevanus","non-dropping-particle":"","parse-names":false,"suffix":""},{"dropping-particle":"","family":"Neil Larsen","given":"S.","non-dropping-particle":"","parse-names":false,"suffix":""},{"dropping-particle":"","family":"Rumetna","given":"Lukas","non-dropping-particle":"","parse-names":false,"suffix":""},{"dropping-particle":"","family":"Halim","given":"A.","non-dropping-particle":"","parse-names":false,"suffix":""},{"dropping-particle":"","family":"Sanjayan","given":"M.","non-dropping-particle":"","parse-names":false,"suffix":""}],"container-title":"Marine Policy","id":"ITEM-2","issue":"5","issued":{"date-parts":[["2012"]]},"page":"1005-1011","publisher":"Elsevier","title":"Measuring the benefits and costs of community education and outreach in marine protected areas","type":"article-journal","volume":"36"},"uris":["http://www.mendeley.com/documents/?uuid=737e2a26-9689-4a6d-8c9d-763bda30231d"]},{"id":"ITEM-3","itemData":{"author":[{"dropping-particle":"","family":"Pelletier","given":"Dominique","non-dropping-particle":"","parse-names":false,"suffix":""},{"dropping-particle":"","family":"García-charton","given":"Jose A","non-dropping-particle":"","parse-names":false,"suffix":""},{"dropping-particle":"","family":"Ferraris","given":"Jocelyne","non-dropping-particle":"","parse-names":false,"suffix":""},{"dropping-particle":"","family":"David","given":"Gilbert","non-dropping-particle":"","parse-names":false,"suffix":""},{"dropping-particle":"","family":"Thébaud","given":"Olivier","non-dropping-particle":"","parse-names":false,"suffix":""},{"dropping-particle":"","family":"Letourneur","given":"Yves","non-dropping-particle":"","parse-names":false,"suffix":""},{"dropping-particle":"","family":"Claudet","given":"Joachim","non-dropping-particle":"","parse-names":false,"suffix":""},{"dropping-particle":"","family":"Amand","given":"Marion","non-dropping-particle":"","parse-names":false,"suffix":""},{"dropping-particle":"","family":"Kulbicki","given":"Michel","non-dropping-particle":"","parse-names":false,"suffix":""},{"dropping-particle":"","family":"Galzin","given":"René","non-dropping-particle":"","parse-names":false,"suffix":""}],"id":"ITEM-3","issued":{"date-parts":[["2005"]]},"page":"15-33","title":"Designing indicators for assessing the effects of marine protected areas on coral reef ecosystems : A multidisciplinary standpoint","type":"article-journal","volume":"33"},"uris":["http://www.mendeley.com/documents/?uuid=78438e11-ca78-4be2-978b-c356bed57609"]},{"id":"ITEM-4","itemData":{"DOI":"10.1111/cobi.12681","ISBN":"9788578110796","ISSN":"15231739","PMID":"25246403","abstract":"The conservation community is increasingly focusing on the monitoring and evaluation of management, governance, ecological, and social considerations as part of a broader move toward adaptive management and evidence-based conservation. Evidence is any information that can be used to come to a conclusion and support a judgment or, in this case, to make decisions that will improve conservation policies, actions, and outcomes. Perceptions are one type of information that is often dismissed as anecdotal by those arguing for evidence-based conservation. In this paper, I clarify the contributions of research on perceptions of conservation to improving adaptive and evidence-based conservation. Studies of the perceptions of local people can provide important insights into observations, understandings and interpretations of the social impacts, and ecological outcomes of conservation; the legitimacy of conservation governance; and the social acceptability of environmental management. Perceptions of these factors contribute to positive or negative local evaluations of conservation initiatives. It is positive perceptions, not just objective scientific evidence of effectiveness, that ultimately ensure the support of local constituents thus enabling the long-term success of conservation. Research on perceptions can inform courses of action to improve conservation and governance at scales ranging from individual initiatives to national and international policies. Better incorporation of evidence from across the social and natural sciences and integration of a plurality of methods into monitoring and evaluation will provide a more complete picture on which to base conservation decisions and environmental management.","author":[{"dropping-particle":"","family":"Bennett","given":"Nathan James","non-dropping-particle":"","parse-names":false,"suffix":""}],"container-title":"Conservation Biology","id":"ITEM-4","issue":"3","issued":{"date-parts":[["2016"]]},"page":"582-592","title":"Using perceptions as evidence to improve conservation and environmental management","type":"article-journal","volume":"30"},"uris":["http://www.mendeley.com/documents/?uuid=1cad863f-d061-4d95-83e2-439fd6b98e5a"]},{"id":"ITEM-5","itemData":{"author":[{"dropping-particle":"","family":"Mascia","given":"Michael B","non-dropping-particle":"","parse-names":false,"suffix":""},{"dropping-particle":"","family":"Biology","given":"Conservation","non-dropping-particle":"","parse-names":false,"suffix":""}],"container-title":"Society for Conservation Biology","id":"ITEM-5","issue":"2","issued":{"date-parts":[["2003"]]},"page":"630-632","title":"The Human Dimension of Coral Reef Marine Protected Areas : Recent Social Science Research and Its Policy Implications Published by : Wiley for Society for Conservation Biology Stable URL : http://www.jstor.org/stable/30953","type":"article-journal","volume":"17"},"uris":["http://www.mendeley.com/documents/?uuid=da47d8e2-2097-442c-9e48-fb5d94188d59"]}],"mendeley":{"formattedCitation":"(Bennett, 2016; Choe &amp; Schuett, 2020; Leisher et al., 2012; Mascia &amp; Biology, 2003; Pelletier et al., 2005)","plainTextFormattedCitation":"(Bennett, 2016; Choe &amp; Schuett, 2020; Leisher et al., 2012; Mascia &amp; Biology, 2003; Pelletier et al., 2005)","previouslyFormattedCitation":"(Bennett, 2016; Choe &amp; Schuett, 2020; Leisher et al., 2012; Mascia &amp; Biology, 2003; Pelletier et al., 2005)"},"properties":{"noteIndex":0},"schema":"https://github.com/citation-style-language/schema/raw/master/csl-citation.json"}</w:instrText>
      </w:r>
      <w:r w:rsidR="00AD19EE">
        <w:fldChar w:fldCharType="separate"/>
      </w:r>
      <w:r w:rsidR="00AD19EE" w:rsidRPr="00AD19EE">
        <w:rPr>
          <w:noProof/>
        </w:rPr>
        <w:t>(Bennett, 2016; Choe &amp; Schuett, 2020; Leisher et al., 2012; Mascia &amp; Biology, 2003; Pelletier et al., 2005)</w:t>
      </w:r>
      <w:r w:rsidR="00AD19EE">
        <w:fldChar w:fldCharType="end"/>
      </w:r>
      <w:r w:rsidR="004D20A6">
        <w:t xml:space="preserve">, </w:t>
      </w:r>
      <w:r w:rsidR="009602FC">
        <w:t>as an indicator of MPAs’ performance</w:t>
      </w:r>
      <w:r w:rsidR="00AD19EE">
        <w:t xml:space="preserve"> </w:t>
      </w:r>
      <w:r w:rsidR="00AD19EE">
        <w:fldChar w:fldCharType="begin" w:fldLock="1"/>
      </w:r>
      <w:r w:rsidR="00AD19EE">
        <w:instrText>ADDIN CSL_CITATION {"citationItems":[{"id":"ITEM-1","itemData":{"DOI":"10.1016/j.marpol.2011.06.002","ISSN":"0308597X","abstract":"How users perceive the performance of Marine Protected Areas (MPAs) is fundamental for the social acceptance of these zones. Moreover, their perceptions may be relevant for monitoring the effects of MPAs on extractive activities. This study analyzes artisanal fishers' perceptions of the performance of a north-western Mediterranean coastal MPA, which encompasses two no-take zones (NTZs). Three viewpoints have been considered: the effect on the personal activity of fishers, the effect on the local fishery and the effect on the ecosystem. In order to test the hypothesis that biomass export (spillover) - which had previously been evidenced from the two NTZs - may influence fishers' perceptions of NTZ effects, fishers' perceptions were compared with both declared and observed fishing activity over an one-year period. The results show that negative perceptions of NTZs are either nil or are negligible. Most fishers are aware of the beneficial effects of NTZs on ecosystems and fisheries. However, they remain to be convinced of the beneficial effects of the NTZs on their own activity. For instance, the proximity of a NTZ appears never to be involved in the choice of a fishing spot. This partial lack of correspondence between scientific expectation and fishers' perceptions is discussed in the light of fishing habits in the zone adjacent to NTZs, and takes into account fishing grounds, targeted species and seniority (defined as the number of years the fisher has been fishing within the MPA). All three factors appear to influence fishers' perceptions. For example, having a positive perception about a NTZ and spending more time fishing in the adjacent zone are habits that can be associated with fishers with less seniority. Fishers' perceptions obviously indicate the social acceptance of the MPA and are an essential monitoring tool for MPA managers. However, perceptions cannot be seen as a substitute for scientific monitoring, as both approaches are clearly complementary. © 2011.","author":[{"dropping-particle":"","family":"Leleu","given":"Kevin","non-dropping-particle":"","parse-names":false,"suffix":""},{"dropping-particle":"","family":"Alban","given":"Frédérique","non-dropping-particle":"","parse-names":false,"suffix":""},{"dropping-particle":"","family":"Pelletier","given":"Dominique","non-dropping-particle":"","parse-names":false,"suffix":""},{"dropping-particle":"","family":"Charbonnel","given":"Eric","non-dropping-particle":"","parse-names":false,"suffix":""},{"dropping-particle":"","family":"Letourneur","given":"Yves","non-dropping-particle":"","parse-names":false,"suffix":""},{"dropping-particle":"","family":"Boudouresque","given":"Charles F.","non-dropping-particle":"","parse-names":false,"suffix":""}],"container-title":"Marine Policy","id":"ITEM-1","issue":"2","issued":{"date-parts":[["2012"]]},"page":"414-422","title":"Fishers' perceptions as indicators of the performance of Marine Protected Areas (MPAs)","type":"article-journal","volume":"36"},"uris":["http://www.mendeley.com/documents/?uuid=8fe356f3-74cf-41af-a8c9-57ce57d9ee2f"]}],"mendeley":{"formattedCitation":"(Leleu et al., 2012)","plainTextFormattedCitation":"(Leleu et al., 2012)","previouslyFormattedCitation":"(Leleu et al., 2012)"},"properties":{"noteIndex":0},"schema":"https://github.com/citation-style-language/schema/raw/master/csl-citation.json"}</w:instrText>
      </w:r>
      <w:r w:rsidR="00AD19EE">
        <w:fldChar w:fldCharType="separate"/>
      </w:r>
      <w:r w:rsidR="00AD19EE" w:rsidRPr="00AD19EE">
        <w:rPr>
          <w:noProof/>
        </w:rPr>
        <w:t>(Leleu et al., 2012)</w:t>
      </w:r>
      <w:r w:rsidR="00AD19EE">
        <w:fldChar w:fldCharType="end"/>
      </w:r>
      <w:r w:rsidR="009602FC">
        <w:t xml:space="preserve"> and</w:t>
      </w:r>
      <w:r w:rsidR="004D20A6">
        <w:t xml:space="preserve"> to foster co-management</w:t>
      </w:r>
      <w:r w:rsidR="00AD19EE">
        <w:t xml:space="preserve">  </w:t>
      </w:r>
      <w:r w:rsidR="00AD19EE">
        <w:fldChar w:fldCharType="begin" w:fldLock="1"/>
      </w:r>
      <w:r w:rsidR="00AD19EE">
        <w:instrText>ADDIN CSL_CITATION {"citationItems":[{"id":"ITEM-1","itemData":{"DOI":"10.1016/j.ocecoaman.2019.03.026","ISSN":"09645691","abstract":"In Northwest Africa, the last two decades were characterized by the establishment of many marine protected areas (MPAs) that are considered to be major fisheries management tools. This politically motivated trend - to use for fisheries management a tool initially conceived for biodiversity conservation - emerged in a context of increasing degradation of the marine and coastal ecosystems combined with a generalized overexploitation of the main fish stocks in the Sub-Region. However, the commitment to promote MPAs neglected the necessity to regularly and effectively monitor and evaluate their effectiveness. Therefore, in 2013–2014 the Canary Current Large Marine Ecosystem (CCLME) project supported the development of an experimental participatory monitoring and evaluation (PM&amp;E) approach for the Northwest African MPAs. This perception-based approach, which was implemented in two pilot MPAs in Senegal and Gambia, was then widely shared and discussed through several local meetings as well as in two regional and international workshops. This article aims to document the principles and outcomes of this experimental PM&amp;E approach and also discuss its opportunities and challenges regarding to its potential adoption and use by MPA managers.","author":[{"dropping-particle":"","family":"Thiao","given":"Djiga","non-dropping-particle":"","parse-names":false,"suffix":""},{"dropping-particle":"","family":"Westlund","given":"Lena","non-dropping-particle":"","parse-names":false,"suffix":""},{"dropping-particle":"","family":"Sambe","given":"Birane","non-dropping-particle":"","parse-names":false,"suffix":""},{"dropping-particle":"","family":"Diadhiou","given":"Hamet Diaw","non-dropping-particle":"","parse-names":false,"suffix":""},{"dropping-particle":"","family":"Dème","given":"Moustapha","non-dropping-particle":"","parse-names":false,"suffix":""},{"dropping-particle":"","family":"Mbenga","given":"Anna","non-dropping-particle":"","parse-names":false,"suffix":""},{"dropping-particle":"","family":"Diop","given":"Mmmadou","non-dropping-particle":"","parse-names":false,"suffix":""}],"container-title":"Ocean and Coastal Management","id":"ITEM-1","issue":"April","issued":{"date-parts":[["2019"]]},"page":"1-16","publisher":"Elsevier","title":"A perception-based participatory monitoring and evaluation approach to foster effective co-management of the marine protected areas in Northwest Africa","type":"article-journal","volume":"175"},"uris":["http://www.mendeley.com/documents/?uuid=3f6d7889-7c71-4426-80fc-55270123f615"]}],"mendeley":{"formattedCitation":"(Thiao et al., 2019)","plainTextFormattedCitation":"(Thiao et al., 2019)","previouslyFormattedCitation":"(Thiao et al., 2019)"},"properties":{"noteIndex":0},"schema":"https://github.com/citation-style-language/schema/raw/master/csl-citation.json"}</w:instrText>
      </w:r>
      <w:r w:rsidR="00AD19EE">
        <w:fldChar w:fldCharType="separate"/>
      </w:r>
      <w:r w:rsidR="00AD19EE" w:rsidRPr="00AD19EE">
        <w:rPr>
          <w:noProof/>
        </w:rPr>
        <w:t>(Thiao et al., 2019)</w:t>
      </w:r>
      <w:r w:rsidR="00AD19EE">
        <w:fldChar w:fldCharType="end"/>
      </w:r>
      <w:r w:rsidR="004D20A6">
        <w:t xml:space="preserve"> </w:t>
      </w:r>
      <w:r w:rsidR="009602FC">
        <w:t>(</w:t>
      </w:r>
      <w:r w:rsidR="0033567F">
        <w:t xml:space="preserve">+ “Social </w:t>
      </w:r>
      <w:proofErr w:type="spellStart"/>
      <w:r w:rsidR="0033567F">
        <w:t>licence</w:t>
      </w:r>
      <w:proofErr w:type="spellEnd"/>
      <w:r w:rsidR="0033567F">
        <w:t>” for MPAs</w:t>
      </w:r>
      <w:r w:rsidR="00AD19EE">
        <w:t xml:space="preserve"> </w:t>
      </w:r>
      <w:r w:rsidR="00AD19EE">
        <w:fldChar w:fldCharType="begin" w:fldLock="1"/>
      </w:r>
      <w:r w:rsidR="00AD19EE">
        <w:instrText>ADDIN CSL_CITATION {"citationItems":[{"id":"ITEM-1","itemData":{"DOI":"10.1016/j.marpol.2019.103782","ISSN":"0308-597X","author":[{"dropping-particle":"","family":"Kelly","given":"Rachel","non-dropping-particle":"","parse-names":false,"suffix":""},{"dropping-particle":"","family":"Fleming","given":"Aysha","non-dropping-particle":"","parse-names":false,"suffix":""},{"dropping-particle":"","family":"Mackay","given":"Mary","non-dropping-particle":"","parse-names":false,"suffix":""},{"dropping-particle":"","family":"García","given":"Carolina","non-dropping-particle":"","parse-names":false,"suffix":""},{"dropping-particle":"","family":"Pecl","given":"Gretta T","non-dropping-particle":"","parse-names":false,"suffix":""}],"container-title":"Marine Policy","id":"ITEM-1","issue":"July 2019","issued":{"date-parts":[["2020"]]},"page":"103782","publisher":"Elsevier Ltd","title":"Social licence for marine protected areas","type":"article-journal"},"uris":["http://www.mendeley.com/documents/?uuid=b01b5a54-447b-4cfe-950f-c27121d455cb"]}],"mendeley":{"formattedCitation":"(Kelly, Fleming, Mackay, García, &amp; Pecl, 2020)","plainTextFormattedCitation":"(Kelly, Fleming, Mackay, García, &amp; Pecl, 2020)","previouslyFormattedCitation":"(Kelly, Fleming, Mackay, García, &amp; Pecl, 2020)"},"properties":{"noteIndex":0},"schema":"https://github.com/citation-style-language/schema/raw/master/csl-citation.json"}</w:instrText>
      </w:r>
      <w:r w:rsidR="00AD19EE">
        <w:fldChar w:fldCharType="separate"/>
      </w:r>
      <w:r w:rsidR="00AD19EE" w:rsidRPr="00AD19EE">
        <w:rPr>
          <w:noProof/>
        </w:rPr>
        <w:t>(Kelly, Fleming, Mackay, García, &amp; Pecl, 2020)</w:t>
      </w:r>
      <w:r w:rsidR="00AD19EE">
        <w:fldChar w:fldCharType="end"/>
      </w:r>
      <w:r w:rsidR="009602FC">
        <w:t>)</w:t>
      </w:r>
      <w:r w:rsidR="0033567F">
        <w:t>.</w:t>
      </w:r>
    </w:p>
    <w:p w14:paraId="6F126EC2" w14:textId="77777777" w:rsidR="005D4C6E" w:rsidRDefault="00A076EC" w:rsidP="005D4C6E">
      <w:pPr>
        <w:rPr>
          <w:color w:val="A5A5A5" w:themeColor="accent3"/>
        </w:rPr>
      </w:pPr>
      <w:r w:rsidRPr="005D4C6E">
        <w:rPr>
          <w:color w:val="A5A5A5" w:themeColor="accent3"/>
        </w:rPr>
        <w:t>/Research gap/</w:t>
      </w:r>
    </w:p>
    <w:p w14:paraId="465D3464" w14:textId="6285CCF3" w:rsidR="00D97972" w:rsidRDefault="0033567F" w:rsidP="005D4C6E">
      <w:pPr>
        <w:pStyle w:val="Paragraphedeliste"/>
        <w:numPr>
          <w:ilvl w:val="0"/>
          <w:numId w:val="2"/>
        </w:numPr>
      </w:pPr>
      <w:r>
        <w:t>While we know</w:t>
      </w:r>
      <w:r w:rsidR="0075699F">
        <w:t xml:space="preserve"> the</w:t>
      </w:r>
      <w:r>
        <w:t xml:space="preserve"> perception</w:t>
      </w:r>
      <w:r w:rsidR="0075699F">
        <w:t>s</w:t>
      </w:r>
      <w:r>
        <w:t xml:space="preserve"> on management can diverge between stakeholders</w:t>
      </w:r>
      <w:r w:rsidR="00AD19EE">
        <w:t xml:space="preserve"> </w:t>
      </w:r>
      <w:r w:rsidR="00AD19EE">
        <w:fldChar w:fldCharType="begin" w:fldLock="1"/>
      </w:r>
      <w:r w:rsidR="00AD19EE">
        <w:instrText>ADDIN CSL_CITATION {"citationItems":[{"id":"ITEM-1","itemData":{"DOI":"10.1016/S0964-5691(99)00062-9","ISBN":"3053614685","ISSN":"09645691","abstract":"The Florida Keys National Marine Sanctuary (FKNMS) developed a zoning plan as part of its overall management plan, fully implemented as of 1997. The plan created several closed areas or harvest refugia in which consumptive activities are prohibited. This research reports results of surveys that we conducted with members of three stakeholder groups in the Florida Keys: commercial fishers, dive operators, and members of local environmental groups. Surveys requested responses regarding the information sources individuals tapped when learning of the zoning plan and the FKNMS; their degree of public participation; their perceptions and acceptance of the zoning strategy and the process of its design; and the expected outcomes of the zoning strategy. Many responses show significant differences among the three groups. Fishers felt highly alienated from the process of zone designation and displayed a sense of anger and powerlessness with respect to what they considered to be an attempt to exclude their group from the harvest refugia. Dive operators demonstrated the highest levels of participation in the designation process, but were concerned that refugia regulations could limit their activities in the future. Members of environmental groups were the strongest supporters of the harvest refugia concept and the FKNMS. This research suggests numerous ways in which marine resource managers could improve their public outreach and information dissemination strategies when developing future harvest refugia and marine protected areas. (C) 2000 Elsevier Science Ltd.","author":[{"dropping-particle":"","family":"Suman","given":"Daniel","non-dropping-particle":"","parse-names":false,"suffix":""},{"dropping-particle":"","family":"Shivlani","given":"Manoj","non-dropping-particle":"","parse-names":false,"suffix":""},{"dropping-particle":"","family":"Walter Milon","given":"J.","non-dropping-particle":"","parse-names":false,"suffix":""}],"container-title":"Ocean and Coastal Management","id":"ITEM-1","issue":"12","issued":{"date-parts":[["1999"]]},"page":"1019-1040","title":"Perceptions and attitudes regarding marine reserves: A comparison of stakeholder groups in the Florida Keys National Marine Sanctuary","type":"article-journal","volume":"42"},"uris":["http://www.mendeley.com/documents/?uuid=ccd22c83-8eac-4065-a588-3ddc98cc7b12"]},{"id":"ITEM-2","itemData":{"DOI":"10.1016/j.marpol.2014.09.019","ISSN":"0308597X","abstract":"One of the reasons for the failure of some Marine Protected Areas (MPAs) is the lack of respect for their boundaries and regulations, which intensifies the need to assess the attitudes of stakeholders affected by MPAs. To this end, it is necessary to know the perception and behavior of resource users in these areas in relation to the management process. This study addressed the perception of different groups of fishermen in three MPAs that allow sustainable use of resources on the Brazilian northeastern coast. The perception analysis was based on four aspects: biodiversity conservation, flexibility and adaptability of fishermen, participation in management and opinions about the MPA. The interviewed fishermen (. n=100) were classified into natives or immigrants,≥than 40 years old or &lt;40, predominant use of selective or nonselective fishing gear and part or full time fishermen. The results showed that younger fishermen and the ones who use selective fishing gear presented a more conservation prone perception; nonselective fishermen and part-time fishermen were more flexible and adaptable to changes; and younger fishermen tended to agree more with the establishment of the MPAs. Taking these differences in perceptions among fishermen into account could serve as a basis for improvements in the management and conservation of fishing resources, besides helping predict possible future behavior due to changes in management policies.","author":[{"dropping-particle":"","family":"Silva","given":"Monalisa R.O.","non-dropping-particle":"","parse-names":false,"suffix":""},{"dropping-particle":"","family":"Lopes","given":"Prisicla F.M.","non-dropping-particle":"","parse-names":false,"suffix":""}],"container-title":"Marine Policy","id":"ITEM-2","issued":{"date-parts":[["2015"]]},"page":"347-355","publisher":"Elsevier","title":"Each fisherman is different: Taking the environmental perception of small-scale fishermen into account to manage marine protected areas","type":"article-journal","volume":"51"},"uris":["http://www.mendeley.com/documents/?uuid=b3893187-f609-4005-99b5-9f187e579195"]}],"mendeley":{"formattedCitation":"(Silva &amp; Lopes, 2015; Suman, Shivlani, &amp; Walter Milon, 1999)","plainTextFormattedCitation":"(Silva &amp; Lopes, 2015; Suman, Shivlani, &amp; Walter Milon, 1999)","previouslyFormattedCitation":"(Silva &amp; Lopes, 2015; Suman, Shivlani, &amp; Walter Milon, 1999)"},"properties":{"noteIndex":0},"schema":"https://github.com/citation-style-language/schema/raw/master/csl-citation.json"}</w:instrText>
      </w:r>
      <w:r w:rsidR="00AD19EE">
        <w:fldChar w:fldCharType="separate"/>
      </w:r>
      <w:r w:rsidR="00AD19EE" w:rsidRPr="00AD19EE">
        <w:rPr>
          <w:noProof/>
        </w:rPr>
        <w:t>(Silva &amp; Lopes, 2015; Suman, Shivlani, &amp; Walter Milon, 1999)</w:t>
      </w:r>
      <w:r w:rsidR="00AD19EE">
        <w:fldChar w:fldCharType="end"/>
      </w:r>
      <w:r w:rsidR="00AD19EE">
        <w:t xml:space="preserve">, </w:t>
      </w:r>
      <w:r w:rsidR="00986D08">
        <w:t xml:space="preserve">and while the efficiency of </w:t>
      </w:r>
      <w:r w:rsidR="0075699F">
        <w:t>the</w:t>
      </w:r>
      <w:r w:rsidR="00986D08">
        <w:t xml:space="preserve"> measures </w:t>
      </w:r>
      <w:r w:rsidR="0075699F">
        <w:t xml:space="preserve">undertaken </w:t>
      </w:r>
      <w:r w:rsidR="00986D08">
        <w:t xml:space="preserve">depends on these perceptions, </w:t>
      </w:r>
      <w:r>
        <w:t>e</w:t>
      </w:r>
      <w:r w:rsidR="00F7648E">
        <w:t>vidence is</w:t>
      </w:r>
      <w:r w:rsidR="0075699F">
        <w:t xml:space="preserve"> still</w:t>
      </w:r>
      <w:r w:rsidR="00F7648E">
        <w:t xml:space="preserve"> lacking on how NGOs can influence t</w:t>
      </w:r>
      <w:r w:rsidR="00986D08">
        <w:t>hem</w:t>
      </w:r>
      <w:r w:rsidR="00F7648E">
        <w:t xml:space="preserve">. </w:t>
      </w:r>
    </w:p>
    <w:p w14:paraId="337E85D0" w14:textId="0FDC6E8A" w:rsidR="00F3662A" w:rsidRDefault="00F3662A" w:rsidP="005D4C6E">
      <w:pPr>
        <w:pStyle w:val="Paragraphedeliste"/>
        <w:numPr>
          <w:ilvl w:val="0"/>
          <w:numId w:val="2"/>
        </w:numPr>
      </w:pPr>
      <w:r>
        <w:t>The impact of</w:t>
      </w:r>
      <w:r w:rsidR="00AD19EE">
        <w:t xml:space="preserve"> specific</w:t>
      </w:r>
      <w:r>
        <w:t xml:space="preserve"> outreach and education programs on knowledge and attitudes towards marine conservation has been studied in the Raja Ampat</w:t>
      </w:r>
      <w:r w:rsidR="00AD19EE">
        <w:t xml:space="preserve"> </w:t>
      </w:r>
      <w:r w:rsidR="00AD19EE">
        <w:fldChar w:fldCharType="begin" w:fldLock="1"/>
      </w:r>
      <w:r w:rsidR="00317788">
        <w:instrText>ADDIN CSL_CITATION {"citationItems":[{"id":"ITEM-1","itemData":{"DOI":"10.1016/j.marpol.2012.02.022","ISSN":"0308597X","abstract":"Conservation organizations often invest considerable resources in education and outreach activities in and around marine protected areas (MPAs). The expectation is that such efforts will change local knowledge, attitudes and ultimately behavior. This is one of the first studies to assess the efficacy of using education and outreach activities to improve community knowledge and attitudes about an MPA. Random sample surveys in 2005 and 2010 (. n=1213) before and after education and outreach activities are compared. Program budgets for the same period give the investment levels. With an investment level averaging US$24 per capita/year, the result was an average increase of 33% in \"yes\" responses across 15 indicators of knowledge and attitudes towards marine conservation. The increase in knowledge and positive attitudes was associated with a large decrease in \"not sure\" responses, suggesting that community members with fewer initial preconceptions are the most effective target for education and outreach activities. This study demonstrates that investments in MPA education and outreach can generate increases in local knowledge and positive attitudes, and changing knowledge and attitudes is expected to contribute to the long-term compliance with MPA regulations. © 2012 Elsevier Ltd.","author":[{"dropping-particle":"","family":"Leisher","given":"Craig","non-dropping-particle":"","parse-names":false,"suffix":""},{"dropping-particle":"","family":"Mangubhai","given":"Sangeeta","non-dropping-particle":"","parse-names":false,"suffix":""},{"dropping-particle":"","family":"Hess","given":"Sebastiaan","non-dropping-particle":"","parse-names":false,"suffix":""},{"dropping-particle":"","family":"Widodo","given":"Hesti","non-dropping-particle":"","parse-names":false,"suffix":""},{"dropping-particle":"","family":"Soekirman","given":"Tri","non-dropping-particle":"","parse-names":false,"suffix":""},{"dropping-particle":"","family":"Tjoe","given":"Salomina","non-dropping-particle":"","parse-names":false,"suffix":""},{"dropping-particle":"","family":"Wawiyai","given":"Stevanus","non-dropping-particle":"","parse-names":false,"suffix":""},{"dropping-particle":"","family":"Neil Larsen","given":"S.","non-dropping-particle":"","parse-names":false,"suffix":""},{"dropping-particle":"","family":"Rumetna","given":"Lukas","non-dropping-particle":"","parse-names":false,"suffix":""},{"dropping-particle":"","family":"Halim","given":"A.","non-dropping-particle":"","parse-names":false,"suffix":""},{"dropping-particle":"","family":"Sanjayan","given":"M.","non-dropping-particle":"","parse-names":false,"suffix":""}],"container-title":"Marine Policy","id":"ITEM-1","issue":"5","issued":{"date-parts":[["2012"]]},"page":"1005-1011","publisher":"Elsevier","title":"Measuring the benefits and costs of community education and outreach in marine protected areas","type":"article-journal","volume":"36"},"uris":["http://www.mendeley.com/documents/?uuid=737e2a26-9689-4a6d-8c9d-763bda30231d"]}],"mendeley":{"formattedCitation":"(Leisher et al., 2012)","plainTextFormattedCitation":"(Leisher et al., 2012)","previouslyFormattedCitation":"(Leisher et al., 2012)"},"properties":{"noteIndex":0},"schema":"https://github.com/citation-style-language/schema/raw/master/csl-citation.json"}</w:instrText>
      </w:r>
      <w:r w:rsidR="00AD19EE">
        <w:fldChar w:fldCharType="separate"/>
      </w:r>
      <w:r w:rsidR="00AD19EE" w:rsidRPr="00AD19EE">
        <w:rPr>
          <w:noProof/>
        </w:rPr>
        <w:t>(Leisher et al., 2012)</w:t>
      </w:r>
      <w:r w:rsidR="00AD19EE">
        <w:fldChar w:fldCharType="end"/>
      </w:r>
      <w:r w:rsidR="00AD19EE">
        <w:t>. But the questions w</w:t>
      </w:r>
      <w:r w:rsidR="00317788">
        <w:t>ere</w:t>
      </w:r>
      <w:r>
        <w:t xml:space="preserve"> close-ended and </w:t>
      </w:r>
      <w:r w:rsidR="00986D08">
        <w:t>the study only focused on the knowledge about MPAs and perception of illegal activities</w:t>
      </w:r>
      <w:r>
        <w:t>.</w:t>
      </w:r>
      <w:r w:rsidR="00317788">
        <w:t xml:space="preserve"> Studies have also been made on how engaging in specific activities can influence the perception of actors </w:t>
      </w:r>
      <w:r w:rsidR="00317788">
        <w:fldChar w:fldCharType="begin" w:fldLock="1"/>
      </w:r>
      <w:r w:rsidR="00317788">
        <w:instrText>ADDIN CSL_CITATION {"citationItems":[{"id":"ITEM-1","itemData":{"DOI":"10.1017/S0376892908004475","ISSN":"03768929","abstract":"The perceptions of resource users towards any conservation policy can be a major determinant of its success. While co-management policy can enhance the management of fisheries, to date there have been few reports concerning how engagement in co-management regimes may affect fishers' perceptions. This paper assesses the determinants of fishers' environmental perceptions within a co-management regime in Chile. Group meetings and structured questionnaires showed fishers' environmental perceptions were composed of four domains of concern, termed water pollution, stock conservation, conservation/profit trade-offs and charismatic species. Fishers' dependence on diving and/or the length of time fishers had engaged with the policy affected their perceptions of each of these domains. Perceptions of the water pollution domain were related to length of time fishers had participated in co-management, probably because fishers gained an increased understanding of the market and its need for unpolluted produce. Attitudes towards conservation/profit trade-offs tended to become linked to an increasingly conservation-oriented ethic with increasing time of engagement with the policy. Given that the length of time fishers engaged with co-management differentially affected fishers' perceptions of environmental domains of concern, public officials and funding agencies should be careful not to judge co-management prematurely. It takes time to educate participants and overcome distrust. Through co-management processes in Chile, fishers' environmental awareness increased, and sustainable behaviours may consequently increase in the future. © 2008 Foundation for Environmental Conservation.","author":[{"dropping-particle":"","family":"Gelcich","given":"Stefan","non-dropping-particle":"","parse-names":false,"suffix":""},{"dropping-particle":"","family":"Kaiser","given":"Michel J.","non-dropping-particle":"","parse-names":false,"suffix":""},{"dropping-particle":"","family":"Castilla","given":"Juan Carlos","non-dropping-particle":"","parse-names":false,"suffix":""},{"dropping-particle":"","family":"Edwards-Jones","given":"Gareth","non-dropping-particle":"","parse-names":false,"suffix":""}],"container-title":"Environmental Conservation","id":"ITEM-1","issue":"1","issued":{"date-parts":[["2008"]]},"page":"36-45","title":"Engagement in co-management of marine benthic resources influences environmental perceptions of artisanal fishers","type":"article-journal","volume":"35"},"uris":["http://www.mendeley.com/documents/?uuid=5fd2bf50-853f-4545-851a-27b972e0a999"]}],"mendeley":{"formattedCitation":"(Gelcich, Kaiser, Castilla, &amp; Edwards-Jones, 2008)","plainTextFormattedCitation":"(Gelcich, Kaiser, Castilla, &amp; Edwards-Jones, 2008)","previouslyFormattedCitation":"(Gelcich, Kaiser, Castilla, &amp; Edwards-Jones, 2008)"},"properties":{"noteIndex":0},"schema":"https://github.com/citation-style-language/schema/raw/master/csl-citation.json"}</w:instrText>
      </w:r>
      <w:r w:rsidR="00317788">
        <w:fldChar w:fldCharType="separate"/>
      </w:r>
      <w:r w:rsidR="00317788" w:rsidRPr="00317788">
        <w:rPr>
          <w:noProof/>
        </w:rPr>
        <w:t>(Gelcich, Kaiser, Castilla, &amp; Edwards-Jones, 2008)</w:t>
      </w:r>
      <w:r w:rsidR="00317788">
        <w:fldChar w:fldCharType="end"/>
      </w:r>
      <w:r w:rsidR="00317788">
        <w:t>.</w:t>
      </w:r>
    </w:p>
    <w:p w14:paraId="35F5ACEA" w14:textId="16895E6E" w:rsidR="005D4C6E" w:rsidRDefault="00317788" w:rsidP="005D4C6E">
      <w:pPr>
        <w:pStyle w:val="Paragraphedeliste"/>
        <w:numPr>
          <w:ilvl w:val="0"/>
          <w:numId w:val="2"/>
        </w:numPr>
      </w:pPr>
      <w:r>
        <w:t xml:space="preserve">=&gt; </w:t>
      </w:r>
      <w:r w:rsidR="00D97972">
        <w:t>In conservation, perception</w:t>
      </w:r>
      <w:r w:rsidR="005D4C6E">
        <w:t xml:space="preserve"> studies</w:t>
      </w:r>
      <w:r w:rsidR="00F7648E">
        <w:t xml:space="preserve"> typically focus on specific aspects</w:t>
      </w:r>
      <w:r w:rsidR="00D97972">
        <w:t xml:space="preserve"> (e.g. ecosystem services, threats, tools)</w:t>
      </w:r>
      <w:r w:rsidR="00F7648E">
        <w:t>, and lack to integrate multidimensional social-ecological interactions</w:t>
      </w:r>
      <w:r w:rsidR="005D4C6E">
        <w:t xml:space="preserve"> </w:t>
      </w:r>
      <w:r w:rsidR="00D97972">
        <w:t>such as between</w:t>
      </w:r>
      <w:r w:rsidR="005D4C6E">
        <w:t xml:space="preserve"> the </w:t>
      </w:r>
      <w:r w:rsidR="00D97972">
        <w:t>definition of</w:t>
      </w:r>
      <w:r w:rsidR="005D4C6E">
        <w:t xml:space="preserve"> issues and solutions,</w:t>
      </w:r>
      <w:r w:rsidR="00D97972">
        <w:t xml:space="preserve"> and</w:t>
      </w:r>
      <w:r w:rsidR="005D4C6E">
        <w:t xml:space="preserve"> perceptions on the value of nature</w:t>
      </w:r>
      <w:r w:rsidR="009300F8">
        <w:t xml:space="preserve"> (</w:t>
      </w:r>
      <w:r w:rsidR="009300F8" w:rsidRPr="009300F8">
        <w:rPr>
          <w:highlight w:val="yellow"/>
        </w:rPr>
        <w:t>REF</w:t>
      </w:r>
      <w:r w:rsidR="00FE6B0F">
        <w:t xml:space="preserve"> =&gt; </w:t>
      </w:r>
      <w:proofErr w:type="spellStart"/>
      <w:r w:rsidR="00FE6B0F">
        <w:t>Carcamo</w:t>
      </w:r>
      <w:proofErr w:type="spellEnd"/>
      <w:r w:rsidR="00FE6B0F">
        <w:t xml:space="preserve"> et al 2014 ??</w:t>
      </w:r>
      <w:r w:rsidR="009300F8">
        <w:t>)</w:t>
      </w:r>
      <w:r w:rsidR="00FE6B0F">
        <w:t>.</w:t>
      </w:r>
    </w:p>
    <w:p w14:paraId="77E5F2AC" w14:textId="49FA207F" w:rsidR="00A076EC" w:rsidRDefault="00F7648E" w:rsidP="005D4C6E">
      <w:pPr>
        <w:pStyle w:val="Paragraphedeliste"/>
        <w:numPr>
          <w:ilvl w:val="0"/>
          <w:numId w:val="2"/>
        </w:numPr>
      </w:pPr>
      <w:r>
        <w:t>Research on human-nature relationships, such as ecosystem services, tend</w:t>
      </w:r>
      <w:r w:rsidR="000C45D5">
        <w:t>s</w:t>
      </w:r>
      <w:r>
        <w:t xml:space="preserve"> to be top-down and not leave much space for locally-grounded definitions of these issues</w:t>
      </w:r>
      <w:r w:rsidR="00317788">
        <w:t xml:space="preserve"> </w:t>
      </w:r>
      <w:r w:rsidR="00317788">
        <w:fldChar w:fldCharType="begin" w:fldLock="1"/>
      </w:r>
      <w:r w:rsidR="00317788">
        <w:instrText>ADDIN CSL_CITATION {"citationItems":[{"id":"ITEM-1","itemData":{"DOI":"10.1038/s41559-017-0349-6","ISSN":"2397334X","PMID":"29062123","abstract":"Monitoring and evaluation are central to ensuring that innovative, multi-scale, and interdisciplinary approaches to sustainability are effective. The development of relevant indicators for local sustainable management outcomes, and the ability to link these to broader national and international policy targets, are key challenges for resource managers, policymakers, and scientists. Sets of indicators that capture both ecological and social-cultural factors, and the feedbacks between them, can underpin cross-scale linkages that help bridge local and global scale initiatives to increase resilience of both humans and ecosystems. Here we argue that biocultural approaches, in combination with methods for synthesizing across evidence from multiple sources, are critical to developing metrics that facilitate linkages across scales and dimensions. Biocultural approaches explicitly start with and build on local cultural perspectives — encompassing values, knowledges, and needs — and recognize feedbacks between ecosystems and human well-being. Adoption of these approaches can encourage exchange between local and global actors, and facilitate identification of crucial problems and solutions that are missing from many regional and international framings of sustainability. Resource managers, scientists, and policymakers need to be thoughtful about not only what kinds of indicators are measured, but also how indicators are designed, implemented, measured, and ultimately combined to evaluate resource use and well-being. We conclude by providing suggestions for translating between local and global indicator efforts. Biocultural approaches combining local values, knowledge, and needs with global ecological factors provide a fruitful indicator framework for assessing local and global well-being and sustainability, and help bridge the divide between them.","author":[{"dropping-particle":"","family":"Sterling","given":"Eleanor J.","non-dropping-particle":"","parse-names":false,"suffix":""},{"dropping-particle":"","family":"Filardi","given":"Christopher","non-dropping-particle":"","parse-names":false,"suffix":""},{"dropping-particle":"","family":"Toomey","given":"Anne","non-dropping-particle":"","parse-names":false,"suffix":""},{"dropping-particle":"","family":"Sigouin","given":"Amanda","non-dropping-particle":"","parse-names":false,"suffix":""},{"dropping-particle":"","family":"Betley","given":"Erin","non-dropping-particle":"","parse-names":false,"suffix":""},{"dropping-particle":"","family":"Gazit","given":"Nadav","non-dropping-particle":"","parse-names":false,"suffix":""},{"dropping-particle":"","family":"Newell","given":"Jennifer","non-dropping-particle":"","parse-names":false,"suffix":""},{"dropping-particle":"","family":"Albert","given":"Simon","non-dropping-particle":"","parse-names":false,"suffix":""},{"dropping-particle":"","family":"Alvira","given":"Diana","non-dropping-particle":"","parse-names":false,"suffix":""},{"dropping-particle":"","family":"Bergamini","given":"Nadia","non-dropping-particle":"","parse-names":false,"suffix":""},{"dropping-particle":"","family":"Blair","given":"Mary","non-dropping-particle":"","parse-names":false,"suffix":""},{"dropping-particle":"","family":"Boseto","given":"David","non-dropping-particle":"","parse-names":false,"suffix":""},{"dropping-particle":"","family":"Burrows","given":"Kate","non-dropping-particle":"","parse-names":false,"suffix":""},{"dropping-particle":"","family":"Bynum","given":"Nora","non-dropping-particle":"","parse-names":false,"suffix":""},{"dropping-particle":"","family":"Caillon","given":"Sophie","non-dropping-particle":"","parse-names":false,"suffix":""},{"dropping-particle":"","family":"Caselle","given":"Jennifer E.","non-dropping-particle":"","parse-names":false,"suffix":""},{"dropping-particle":"","family":"Claudet","given":"Joachim","non-dropping-particle":"","parse-names":false,"suffix":""},{"dropping-particle":"","family":"Cullman","given":"Georgina","non-dropping-particle":"","parse-names":false,"suffix":""},{"dropping-particle":"","family":"Dacks","given":"Rachel","non-dropping-particle":"","parse-names":false,"suffix":""},{"dropping-particle":"","family":"Eyzaguirre","given":"Pablo B.","non-dropping-particle":"","parse-names":false,"suffix":""},{"dropping-particle":"","family":"Gray","given":"Steven","non-dropping-particle":"","parse-names":false,"suffix":""},{"dropping-particle":"","family":"Herrera","given":"James","non-dropping-particle":"","parse-names":false,"suffix":""},{"dropping-particle":"","family":"Kenilorea","given":"Peter","non-dropping-particle":"","parse-names":false,"suffix":""},{"dropping-particle":"","family":"Kinney","given":"Kealohanuiopuna","non-dropping-particle":"","parse-names":false,"suffix":""},{"dropping-particle":"","family":"Kurashima","given":"Natalie","non-dropping-particle":"","parse-names":false,"suffix":""},{"dropping-particle":"","family":"MacEy","given":"Suzanne","non-dropping-particle":"","parse-names":false,"suffix":""},{"dropping-particle":"","family":"Malone","given":"Cynthia","non-dropping-particle":"","parse-names":false,"suffix":""},{"dropping-particle":"","family":"Mauli","given":"Senoveva","non-dropping-particle":"","parse-names":false,"suffix":""},{"dropping-particle":"","family":"McCarter","given":"Joe","non-dropping-particle":"","parse-names":false,"suffix":""},{"dropping-particle":"","family":"McMillen","given":"Heather","non-dropping-particle":"","parse-names":false,"suffix":""},{"dropping-particle":"","family":"Pascua","given":"Pua'ala","non-dropping-particle":"","parse-names":false,"suffix":""},{"dropping-particle":"","family":"Pikacha","given":"Patrick","non-dropping-particle":"","parse-names":false,"suffix":""},{"dropping-particle":"","family":"Porzecanski","given":"Ana L.","non-dropping-particle":"","parse-names":false,"suffix":""},{"dropping-particle":"","family":"Robert","given":"Pascale","non-dropping-particle":"De","parse-names":false,"suffix":""},{"dropping-particle":"","family":"Salpeteur","given":"Matthieu","non-dropping-particle":"","parse-names":false,"suffix":""},{"dropping-particle":"","family":"Sirikolo","given":"Myknee","non-dropping-particle":"","parse-names":false,"suffix":""},{"dropping-particle":"","family":"Stege","given":"Mark H.","non-dropping-particle":"","parse-names":false,"suffix":""},{"dropping-particle":"","family":"Stege","given":"Kristina","non-dropping-particle":"","parse-names":false,"suffix":""},{"dropping-particle":"","family":"Ticktin","given":"Tamara","non-dropping-particle":"","parse-names":false,"suffix":""},{"dropping-particle":"","family":"Vave","given":"Ron","non-dropping-particle":"","parse-names":false,"suffix":""},{"dropping-particle":"","family":"Wali","given":"Alaka","non-dropping-particle":"","parse-names":false,"suffix":""},{"dropping-particle":"","family":"West","given":"Paige","non-dropping-particle":"","parse-names":false,"suffix":""},{"dropping-particle":"","family":"Winter","given":"Kawika B.","non-dropping-particle":"","parse-names":false,"suffix":""},{"dropping-particle":"","family":"Jupiter","given":"Stacy D.","non-dropping-particle":"","parse-names":false,"suffix":""}],"container-title":"Nature Ecology and Evolution","id":"ITEM-1","issue":"12","issued":{"date-parts":[["2017"]]},"page":"1798-1806","title":"Biocultural approaches to well-being and sustainability indicators across scales","type":"article-journal","volume":"1"},"uris":["http://www.mendeley.com/documents/?uuid=3bfbe382-0ac4-4514-a62c-47e7b830064a"]},{"id":"ITEM-2","itemData":{"DOI":"10.1371/journal.pbio.1002040","ISBN":"DOI: 10.1371/journal.pbio.1002040","ISSN":"15457885","PMID":"25585296","abstract":"After a long incubation period, the Intergovernmental Platform on Biodiversity and Ecosystem Services (IPBES) is now underway. Underpinning all its activities is the IPBES Conceptual Framework (CF), a simplified model of the interactions between nature and people. Drawing on the legacy of previous large-scale environmental assessments, the CF goes further in explicitly embracing different disciplines and knowledge systems (including indigenous and local knowledge) in the co-construction of assessments of the state of the world's biodiversity and the benefits it provides to humans. The CF can be thought of as a kind of \"Rosetta Stone\" that highlights commonalities between diverse value sets and seeks to facilitate crossdisciplinary and crosscultural understanding. We argue that the CF will contribute to the increasing trend towards interdisciplinarity in understanding and managing the environment. Rather than displacing disciplinary science, however, we believe that the CF will provide new contexts of discovery and policy applications for it.","author":[{"dropping-particle":"","family":"Díaz","given":"Sandra","non-dropping-particle":"","parse-names":false,"suffix":""},{"dropping-particle":"","family":"Demissew","given":"Sebsebe","non-dropping-particle":"","parse-names":false,"suffix":""},{"dropping-particle":"","family":"Joly","given":"Carlos","non-dropping-particle":"","parse-names":false,"suffix":""},{"dropping-particle":"","family":"Lonsdale","given":"W. Mark","non-dropping-particle":"","parse-names":false,"suffix":""},{"dropping-particle":"","family":"Larigauderie","given":"Anne","non-dropping-particle":"","parse-names":false,"suffix":""}],"container-title":"PLoS biology","id":"ITEM-2","issue":"1","issued":{"date-parts":[["2015"]]},"page":"e1002040","title":"A Rosetta Stone for nature's benefits to people","type":"article-journal","volume":"13"},"uris":["http://www.mendeley.com/documents/?uuid=856e998b-87dd-463a-883e-15771b2f7a20"]},{"id":"ITEM-3","itemData":{"DOI":"10.1016/j.marpol.2014.05.005","ISBN":"0308-597X","ISSN":"0308597X","abstract":"Marine protected areas (MPAs) have the potential to conserve marine resources as well as provide social and economic benefits to local communities. Yet the percentage of MPAs that might be considered \"successful\" or effective on ecological and/or socio-economic accounts is debatable. Measurement of biophysical and socio-economic outcome indicators has become de rigeur for examining MPA management effectiveness so that adaptive feedback loops can stimulate new management actions. Scholars and practitioners alike have suggested that more attention should be given to the inputs that are likely to lead to successful MPA outcomes. This paper briefly discusses the potential ecological and socio-economic outcomes of MPAs then reviews the literature on three categories of inputs - governance, management, and local development - that lead to effective MPAs. In conclusion, the paper presents a novel inputs framework that incorporates indicators for governance, management and development to be used in the design and analysis of MPAs. © 2014 The Authors.","author":[{"dropping-particle":"","family":"Bennett","given":"Nathan James","non-dropping-particle":"","parse-names":false,"suffix":""},{"dropping-particle":"","family":"Dearden","given":"Philip","non-dropping-particle":"","parse-names":false,"suffix":""}],"container-title":"Marine Policy","id":"ITEM-3","issue":"PA","issued":{"date-parts":[["2014"]]},"page":"96-110","publisher":"Elsevier","title":"From measuring outcomes to providing inputs: Governance, management, and local development for more effective marine protected areas","type":"article-journal","volume":"50"},"uris":["http://www.mendeley.com/documents/?uuid=2bb903e6-df13-4c14-a13b-a9c1e0f15542"]}],"mendeley":{"formattedCitation":"(Bennett &amp; Dearden, 2014; Díaz, Demissew, Joly, Lonsdale, &amp; Larigauderie, 2015; Sterling et al., 2017)","plainTextFormattedCitation":"(Bennett &amp; Dearden, 2014; Díaz, Demissew, Joly, Lonsdale, &amp; Larigauderie, 2015; Sterling et al., 2017)","previouslyFormattedCitation":"(Bennett &amp; Dearden, 2014; Díaz, Demissew, Joly, Lonsdale, &amp; Larigauderie, 2015; Sterling et al., 2017)"},"properties":{"noteIndex":0},"schema":"https://github.com/citation-style-language/schema/raw/master/csl-citation.json"}</w:instrText>
      </w:r>
      <w:r w:rsidR="00317788">
        <w:fldChar w:fldCharType="separate"/>
      </w:r>
      <w:r w:rsidR="00317788" w:rsidRPr="00317788">
        <w:rPr>
          <w:noProof/>
        </w:rPr>
        <w:t>(Bennett &amp; Dearden, 2014; Díaz, Demissew, Joly, Lonsdale, &amp; Larigauderie, 2015; Sterling et al., 2017)</w:t>
      </w:r>
      <w:r w:rsidR="00317788">
        <w:fldChar w:fldCharType="end"/>
      </w:r>
      <w:r w:rsidR="00317788">
        <w:t>.</w:t>
      </w:r>
      <w:r>
        <w:t xml:space="preserve"> </w:t>
      </w:r>
    </w:p>
    <w:p w14:paraId="2EA159D2" w14:textId="22A35250" w:rsidR="00FE6B0F" w:rsidRDefault="00986D08" w:rsidP="005D4C6E">
      <w:pPr>
        <w:pStyle w:val="Paragraphedeliste"/>
        <w:numPr>
          <w:ilvl w:val="0"/>
          <w:numId w:val="2"/>
        </w:numPr>
      </w:pPr>
      <w:r>
        <w:lastRenderedPageBreak/>
        <w:t>There is a l</w:t>
      </w:r>
      <w:r w:rsidR="00FE6B0F">
        <w:t>ack of “step zero” analyses of MPA implementation</w:t>
      </w:r>
      <w:r w:rsidR="00317788">
        <w:t xml:space="preserve"> </w:t>
      </w:r>
      <w:r w:rsidR="00317788">
        <w:fldChar w:fldCharType="begin" w:fldLock="1"/>
      </w:r>
      <w:r w:rsidR="00317788">
        <w:instrText>ADDIN CSL_CITATION {"citationItems":[{"id":"ITEM-1","itemData":{"DOI":"10.1016/j.marpol.2020.104119","ISSN":"0308597X","abstract":"Despite the efforts to improve marine conservation through marine protected areas, effective management is challenging. Challenges in management have been attributed, amongst other reasons, to the initial process of Marine Protected Area (MPA) creation. In this context, the objective of this study is to describe the creation processes of Brazilian MPAs, via the “step zero” analysis. We analyzed eight MPAs through interviews with key informants. The main lessons learned from this study, is that the process of creation did not take into account fundamental aspects such as previous studies about local socioecological dynamic and citizen participation in the decision making processes, foreseen by the norms and guidelines of the Brazilian system. These variables, in turn, may explain why MPAs often demonstrate challenges in the management process. Furthermore, describing Brazil's experiences with creating MPAs, we believe we are contributing to the development of the step zero analysis, as well as to the decision making in the creation of MPAs in the national context.","author":[{"dropping-particle":"","family":"Giraldi-Costa","given":"Ana Clara","non-dropping-particle":"","parse-names":false,"suffix":""},{"dropping-particle":"","family":"Medeiros","given":"Rodrigo Pereira","non-dropping-particle":"","parse-names":false,"suffix":""},{"dropping-particle":"","family":"Tiepolo","given":"Liliani Marília","non-dropping-particle":"","parse-names":false,"suffix":""}],"container-title":"Marine Policy","id":"ITEM-1","issue":"July","issued":{"date-parts":[["2020"]]},"page":"104119","publisher":"Elsevier Ltd","title":"Step zero of marine protected areas of Brazil","type":"article-journal","volume":"120"},"uris":["http://www.mendeley.com/documents/?uuid=2694aebf-9c87-471f-aa1f-cd8d0916ebb5"]}],"mendeley":{"formattedCitation":"(Giraldi-Costa, Medeiros, &amp; Tiepolo, 2020)","plainTextFormattedCitation":"(Giraldi-Costa, Medeiros, &amp; Tiepolo, 2020)","previouslyFormattedCitation":"(Giraldi-Costa, Medeiros, &amp; Tiepolo, 2020)"},"properties":{"noteIndex":0},"schema":"https://github.com/citation-style-language/schema/raw/master/csl-citation.json"}</w:instrText>
      </w:r>
      <w:r w:rsidR="00317788">
        <w:fldChar w:fldCharType="separate"/>
      </w:r>
      <w:r w:rsidR="00317788" w:rsidRPr="00317788">
        <w:rPr>
          <w:noProof/>
        </w:rPr>
        <w:t>(Giraldi-Costa, Medeiros, &amp; Tiepolo, 2020)</w:t>
      </w:r>
      <w:r w:rsidR="00317788">
        <w:fldChar w:fldCharType="end"/>
      </w:r>
      <w:r>
        <w:t>, limiting our understanding of the early social and ecological dynamics of conservation</w:t>
      </w:r>
      <w:r w:rsidR="00FE6B0F">
        <w:t>.</w:t>
      </w:r>
    </w:p>
    <w:p w14:paraId="4B9BB016" w14:textId="13734D85" w:rsidR="00A076EC" w:rsidRDefault="00A076EC" w:rsidP="005D4C6E">
      <w:pPr>
        <w:rPr>
          <w:color w:val="A5A5A5" w:themeColor="accent3"/>
        </w:rPr>
      </w:pPr>
      <w:r w:rsidRPr="005D4C6E">
        <w:rPr>
          <w:color w:val="A5A5A5" w:themeColor="accent3"/>
        </w:rPr>
        <w:t>/Research questions/</w:t>
      </w:r>
    </w:p>
    <w:p w14:paraId="4971B551" w14:textId="0CDE2B4F" w:rsidR="005D4C6E" w:rsidRDefault="000C45D5" w:rsidP="005D4C6E">
      <w:pPr>
        <w:pStyle w:val="Paragraphedeliste"/>
        <w:numPr>
          <w:ilvl w:val="0"/>
          <w:numId w:val="2"/>
        </w:numPr>
      </w:pPr>
      <w:r>
        <w:t xml:space="preserve">What influence can environmental NGOs have on </w:t>
      </w:r>
      <w:r w:rsidR="00D97972">
        <w:t>the way</w:t>
      </w:r>
      <w:r>
        <w:t xml:space="preserve"> local residents perceive environmental issues?</w:t>
      </w:r>
    </w:p>
    <w:p w14:paraId="503C4EBC" w14:textId="2A847787" w:rsidR="000C45D5" w:rsidRDefault="00593E4B" w:rsidP="005D4C6E">
      <w:pPr>
        <w:pStyle w:val="Paragraphedeliste"/>
        <w:numPr>
          <w:ilvl w:val="0"/>
          <w:numId w:val="2"/>
        </w:numPr>
      </w:pPr>
      <w:r>
        <w:t xml:space="preserve">Are these changes potentially </w:t>
      </w:r>
      <w:r w:rsidR="00D97972">
        <w:t>encouraging</w:t>
      </w:r>
      <w:r>
        <w:t xml:space="preserve"> or </w:t>
      </w:r>
      <w:r w:rsidR="00D97972">
        <w:t>impeding</w:t>
      </w:r>
      <w:r>
        <w:t xml:space="preserve"> conservation measures?</w:t>
      </w:r>
      <w:r w:rsidR="00317788">
        <w:t xml:space="preserve"> (“positive attitudes” =&gt; </w:t>
      </w:r>
      <w:proofErr w:type="spellStart"/>
      <w:r w:rsidR="00317788">
        <w:t>Leisher</w:t>
      </w:r>
      <w:proofErr w:type="spellEnd"/>
      <w:r w:rsidR="00317788">
        <w:t xml:space="preserve"> et al. 2012).</w:t>
      </w:r>
    </w:p>
    <w:p w14:paraId="050C1908" w14:textId="77777777" w:rsidR="005D4C6E" w:rsidRDefault="00A076EC" w:rsidP="005D4C6E">
      <w:r w:rsidRPr="005D4C6E">
        <w:rPr>
          <w:color w:val="A5A5A5" w:themeColor="accent3"/>
        </w:rPr>
        <w:t xml:space="preserve">/Filling the gap/ </w:t>
      </w:r>
    </w:p>
    <w:p w14:paraId="47B1871C" w14:textId="31F73C90" w:rsidR="005D4C6E" w:rsidRDefault="005D4C6E" w:rsidP="005D4C6E">
      <w:pPr>
        <w:pStyle w:val="Paragraphedeliste"/>
        <w:numPr>
          <w:ilvl w:val="0"/>
          <w:numId w:val="2"/>
        </w:numPr>
      </w:pPr>
      <w:r>
        <w:t xml:space="preserve">Our case </w:t>
      </w:r>
      <w:r w:rsidR="00D97972">
        <w:t>study focuses on the</w:t>
      </w:r>
      <w:r>
        <w:t xml:space="preserve"> </w:t>
      </w:r>
      <w:r w:rsidR="00F7648E">
        <w:t>Shark Fin Bay</w:t>
      </w:r>
      <w:r>
        <w:t xml:space="preserve"> of</w:t>
      </w:r>
      <w:r w:rsidR="00F7648E">
        <w:t xml:space="preserve"> Palawan</w:t>
      </w:r>
      <w:r>
        <w:t>, Philippines.</w:t>
      </w:r>
      <w:r w:rsidR="00F7648E">
        <w:t xml:space="preserve"> </w:t>
      </w:r>
      <w:r>
        <w:t>This area is characterized by a high level of</w:t>
      </w:r>
      <w:r w:rsidR="00F7648E">
        <w:t xml:space="preserve"> pressure on ecosystems and</w:t>
      </w:r>
      <w:r>
        <w:t xml:space="preserve"> a</w:t>
      </w:r>
      <w:r w:rsidR="00F7648E">
        <w:t xml:space="preserve"> high reliance on fishing</w:t>
      </w:r>
      <w:r>
        <w:t>.</w:t>
      </w:r>
      <w:r w:rsidR="00F7648E">
        <w:t xml:space="preserve"> </w:t>
      </w:r>
      <w:r>
        <w:t>T</w:t>
      </w:r>
      <w:r w:rsidR="00F7648E">
        <w:t xml:space="preserve">he </w:t>
      </w:r>
      <w:proofErr w:type="spellStart"/>
      <w:r w:rsidR="00F7648E">
        <w:t>Sulubaai</w:t>
      </w:r>
      <w:proofErr w:type="spellEnd"/>
      <w:r w:rsidR="00F7648E">
        <w:t xml:space="preserve"> Environmental Foundation </w:t>
      </w:r>
      <w:r>
        <w:t xml:space="preserve">has undertaken actions there </w:t>
      </w:r>
      <w:r w:rsidR="00F7648E">
        <w:t xml:space="preserve">since 2012. </w:t>
      </w:r>
      <w:r w:rsidR="006E467C">
        <w:t xml:space="preserve">Five villages are studied and separated in two groups: </w:t>
      </w:r>
      <w:proofErr w:type="spellStart"/>
      <w:r w:rsidR="006E467C">
        <w:t>i</w:t>
      </w:r>
      <w:proofErr w:type="spellEnd"/>
      <w:r w:rsidR="006E467C">
        <w:t xml:space="preserve">) villages where </w:t>
      </w:r>
      <w:proofErr w:type="spellStart"/>
      <w:r w:rsidR="006E467C">
        <w:t>Sulubaai</w:t>
      </w:r>
      <w:proofErr w:type="spellEnd"/>
      <w:r w:rsidR="006E467C">
        <w:t xml:space="preserve"> has undertaken actions</w:t>
      </w:r>
      <w:r w:rsidR="00986D08">
        <w:t xml:space="preserve"> (</w:t>
      </w:r>
      <w:proofErr w:type="spellStart"/>
      <w:r w:rsidR="00986D08">
        <w:t>Depla</w:t>
      </w:r>
      <w:proofErr w:type="spellEnd"/>
      <w:r w:rsidR="00986D08">
        <w:t xml:space="preserve"> and Sandoval)</w:t>
      </w:r>
      <w:r w:rsidR="006E467C">
        <w:t>;</w:t>
      </w:r>
      <w:r w:rsidR="00986D08">
        <w:t xml:space="preserve"> and</w:t>
      </w:r>
      <w:r w:rsidR="006E467C">
        <w:t xml:space="preserve"> ii) nearby villages where no actions were undertaken</w:t>
      </w:r>
      <w:r w:rsidR="00986D08">
        <w:t xml:space="preserve"> (Batas, Mabini and </w:t>
      </w:r>
      <w:proofErr w:type="spellStart"/>
      <w:r w:rsidR="00986D08">
        <w:t>Silanga</w:t>
      </w:r>
      <w:proofErr w:type="spellEnd"/>
      <w:r w:rsidR="00986D08">
        <w:t>)</w:t>
      </w:r>
      <w:r w:rsidR="006E467C">
        <w:t xml:space="preserve">. </w:t>
      </w:r>
    </w:p>
    <w:p w14:paraId="64946666" w14:textId="66526E8C" w:rsidR="00F7648E" w:rsidRPr="00D65751" w:rsidRDefault="006E467C" w:rsidP="005D4C6E">
      <w:pPr>
        <w:pStyle w:val="Paragraphedeliste"/>
        <w:numPr>
          <w:ilvl w:val="0"/>
          <w:numId w:val="2"/>
        </w:numPr>
      </w:pPr>
      <w:r>
        <w:t xml:space="preserve">Based on open-ended interviews, we map and study the perception of </w:t>
      </w:r>
      <w:r w:rsidR="005D4C6E">
        <w:t>local residents</w:t>
      </w:r>
      <w:r>
        <w:t>, decision-makers and scientists on these questions using network analysis.</w:t>
      </w:r>
    </w:p>
    <w:p w14:paraId="2EBF22B8" w14:textId="2C2938FD" w:rsidR="00A076EC" w:rsidRPr="00D65751" w:rsidRDefault="00A076EC" w:rsidP="005D4C6E"/>
    <w:p w14:paraId="1A011E4C" w14:textId="389F0BC0" w:rsidR="00942B36" w:rsidRDefault="00942B36" w:rsidP="00942B36">
      <w:pPr>
        <w:pStyle w:val="Titre2"/>
      </w:pPr>
      <w:r>
        <w:t>2. Materials and methods</w:t>
      </w:r>
    </w:p>
    <w:p w14:paraId="4892A6AE" w14:textId="77777777" w:rsidR="00942B36" w:rsidRPr="00942B36" w:rsidRDefault="00942B36" w:rsidP="00942B36"/>
    <w:p w14:paraId="47E3AE08" w14:textId="77777777" w:rsidR="00942B36" w:rsidRDefault="00942B36" w:rsidP="00942B36">
      <w:pPr>
        <w:rPr>
          <w:color w:val="A5A5A5" w:themeColor="accent3"/>
        </w:rPr>
      </w:pPr>
      <w:commentRangeStart w:id="1"/>
      <w:r w:rsidRPr="00942B36">
        <w:rPr>
          <w:color w:val="A5A5A5" w:themeColor="accent3"/>
        </w:rPr>
        <w:t>/Site selection/</w:t>
      </w:r>
      <w:commentRangeEnd w:id="1"/>
      <w:r w:rsidR="004D20A6">
        <w:rPr>
          <w:rStyle w:val="Marquedecommentaire"/>
        </w:rPr>
        <w:commentReference w:id="1"/>
      </w:r>
    </w:p>
    <w:p w14:paraId="4A2DAC62" w14:textId="5A1724F2" w:rsidR="00942B36" w:rsidRDefault="00942B36" w:rsidP="00942B36">
      <w:pPr>
        <w:pStyle w:val="Paragraphedeliste"/>
        <w:numPr>
          <w:ilvl w:val="0"/>
          <w:numId w:val="3"/>
        </w:numPr>
      </w:pPr>
      <w:r>
        <w:t>The Shark Fin Bay of Palawan, Philippines, is representative of this common situation of high reliance on marine ecosystems, and increasing threats towards them (</w:t>
      </w:r>
      <w:r w:rsidRPr="00126EDC">
        <w:rPr>
          <w:highlight w:val="yellow"/>
        </w:rPr>
        <w:t>REF Philippines</w:t>
      </w:r>
      <w:r w:rsidR="00126EDC" w:rsidRPr="00126EDC">
        <w:rPr>
          <w:highlight w:val="yellow"/>
        </w:rPr>
        <w:t>, Taytay</w:t>
      </w:r>
      <w:r>
        <w:t xml:space="preserve">). Five villages </w:t>
      </w:r>
      <w:r w:rsidR="00126EDC">
        <w:t xml:space="preserve">(the most local administrative subdivision, locally called </w:t>
      </w:r>
      <w:r w:rsidR="00126EDC" w:rsidRPr="00126EDC">
        <w:rPr>
          <w:i/>
          <w:iCs/>
        </w:rPr>
        <w:t>Barangay</w:t>
      </w:r>
      <w:r w:rsidR="00126EDC">
        <w:t xml:space="preserve">) </w:t>
      </w:r>
      <w:r w:rsidRPr="00126EDC">
        <w:t>were</w:t>
      </w:r>
      <w:r>
        <w:t xml:space="preserve"> included </w:t>
      </w:r>
      <w:r w:rsidR="00126EDC">
        <w:t>to</w:t>
      </w:r>
      <w:r>
        <w:t xml:space="preserve"> the study</w:t>
      </w:r>
      <w:r w:rsidR="00126EDC">
        <w:t>.</w:t>
      </w:r>
      <w:r>
        <w:t xml:space="preserve"> </w:t>
      </w:r>
    </w:p>
    <w:p w14:paraId="36527CB6" w14:textId="08AB635E" w:rsidR="00942B36" w:rsidRDefault="00942B36" w:rsidP="00942B36">
      <w:pPr>
        <w:pStyle w:val="Paragraphedeliste"/>
        <w:numPr>
          <w:ilvl w:val="0"/>
          <w:numId w:val="3"/>
        </w:numPr>
      </w:pPr>
      <w:r>
        <w:t xml:space="preserve">Since 2012, the </w:t>
      </w:r>
      <w:proofErr w:type="spellStart"/>
      <w:r>
        <w:t>Sulubaai</w:t>
      </w:r>
      <w:proofErr w:type="spellEnd"/>
      <w:r>
        <w:t xml:space="preserve"> Environmental Foundation (SEF) is active in the area and promotes a range of actions involving local communities: implementation of marine protected areas, coral </w:t>
      </w:r>
      <w:r w:rsidR="00CE762A">
        <w:t xml:space="preserve">and mangrove </w:t>
      </w:r>
      <w:r w:rsidR="00370DED">
        <w:t>r</w:t>
      </w:r>
      <w:r>
        <w:t>estoration,</w:t>
      </w:r>
      <w:r w:rsidR="00CE762A">
        <w:t xml:space="preserve"> sustainable local employment,</w:t>
      </w:r>
      <w:r>
        <w:t xml:space="preserve"> environmental education in schools and beach cleanings. At the time of the study, SEF was mainly active in two villages: </w:t>
      </w:r>
      <w:proofErr w:type="spellStart"/>
      <w:r>
        <w:t>Depla</w:t>
      </w:r>
      <w:proofErr w:type="spellEnd"/>
      <w:r>
        <w:t xml:space="preserve"> and Sandoval</w:t>
      </w:r>
      <w:r w:rsidR="00126EDC">
        <w:t xml:space="preserve">, and was planning to extend its activities to another village: </w:t>
      </w:r>
      <w:proofErr w:type="spellStart"/>
      <w:r w:rsidR="00126EDC">
        <w:t>Silanga</w:t>
      </w:r>
      <w:proofErr w:type="spellEnd"/>
      <w:r w:rsidR="00126EDC">
        <w:t xml:space="preserve">. Finally, two more villages were included to the study as other “control </w:t>
      </w:r>
      <w:r w:rsidR="00CE762A">
        <w:t>villages</w:t>
      </w:r>
      <w:r w:rsidR="00126EDC">
        <w:t>”: Batas and Mabini.</w:t>
      </w:r>
    </w:p>
    <w:p w14:paraId="43F83EA6" w14:textId="77777777" w:rsidR="00126EDC" w:rsidRDefault="00942B36" w:rsidP="00D97972">
      <w:pPr>
        <w:rPr>
          <w:color w:val="A5A5A5" w:themeColor="accent3"/>
        </w:rPr>
      </w:pPr>
      <w:r w:rsidRPr="00126EDC">
        <w:rPr>
          <w:color w:val="A5A5A5" w:themeColor="accent3"/>
        </w:rPr>
        <w:t>/Sampling/</w:t>
      </w:r>
    </w:p>
    <w:p w14:paraId="1070DB7D" w14:textId="5F6A5C9C" w:rsidR="00126EDC" w:rsidRDefault="00942B36" w:rsidP="00126EDC">
      <w:pPr>
        <w:pStyle w:val="Paragraphedeliste"/>
        <w:numPr>
          <w:ilvl w:val="0"/>
          <w:numId w:val="3"/>
        </w:numPr>
      </w:pPr>
      <w:r>
        <w:t>Open-ended interviews</w:t>
      </w:r>
      <w:r w:rsidR="00126EDC">
        <w:t xml:space="preserve"> were conducted</w:t>
      </w:r>
      <w:r>
        <w:t xml:space="preserve"> with random/snowball sampling. </w:t>
      </w:r>
      <w:r w:rsidR="00126EDC">
        <w:t>Usually, but not always, the first person questioned was the village’s mayor (locally known as “</w:t>
      </w:r>
      <w:r w:rsidR="00126EDC" w:rsidRPr="00126EDC">
        <w:rPr>
          <w:i/>
          <w:iCs/>
        </w:rPr>
        <w:t>Barangay Captain</w:t>
      </w:r>
      <w:r w:rsidR="00126EDC">
        <w:t>”).</w:t>
      </w:r>
    </w:p>
    <w:p w14:paraId="0E6FC81F" w14:textId="6744B90A" w:rsidR="00D97972" w:rsidRDefault="00D97972" w:rsidP="00D97972">
      <w:pPr>
        <w:pStyle w:val="Paragraphedeliste"/>
        <w:numPr>
          <w:ilvl w:val="0"/>
          <w:numId w:val="3"/>
        </w:numPr>
      </w:pPr>
      <w:r>
        <w:t>Authorization asked beforehand to each village mayor and prior informed consent</w:t>
      </w:r>
      <w:r w:rsidR="00986D08">
        <w:t xml:space="preserve"> obtained</w:t>
      </w:r>
      <w:r>
        <w:t xml:space="preserve"> from each respondent. Most interviews</w:t>
      </w:r>
      <w:r w:rsidR="00986D08">
        <w:t xml:space="preserve"> were</w:t>
      </w:r>
      <w:r>
        <w:t xml:space="preserve"> conducted in Filipino, except for people who felt</w:t>
      </w:r>
      <w:r w:rsidR="00986D08">
        <w:t xml:space="preserve"> </w:t>
      </w:r>
      <w:r>
        <w:t xml:space="preserve">comfortable </w:t>
      </w:r>
      <w:r w:rsidR="00986D08">
        <w:t>speaking</w:t>
      </w:r>
      <w:r>
        <w:t xml:space="preserve"> English.</w:t>
      </w:r>
    </w:p>
    <w:p w14:paraId="2EA199C1" w14:textId="77777777" w:rsidR="00126EDC" w:rsidRDefault="00942B36" w:rsidP="00D97972">
      <w:pPr>
        <w:rPr>
          <w:color w:val="A5A5A5" w:themeColor="accent3"/>
        </w:rPr>
      </w:pPr>
      <w:r w:rsidRPr="00126EDC">
        <w:rPr>
          <w:color w:val="A5A5A5" w:themeColor="accent3"/>
        </w:rPr>
        <w:t>/Data collected/</w:t>
      </w:r>
    </w:p>
    <w:p w14:paraId="095D67F8" w14:textId="0F7FE37C" w:rsidR="00D97972" w:rsidRDefault="00126EDC" w:rsidP="00D97972">
      <w:pPr>
        <w:pStyle w:val="Paragraphedeliste"/>
        <w:numPr>
          <w:ilvl w:val="0"/>
          <w:numId w:val="3"/>
        </w:numPr>
      </w:pPr>
      <w:r>
        <w:t>All i</w:t>
      </w:r>
      <w:r w:rsidR="00942B36">
        <w:t>nterviews</w:t>
      </w:r>
      <w:r>
        <w:t xml:space="preserve"> were</w:t>
      </w:r>
      <w:r w:rsidR="00942B36">
        <w:t xml:space="preserve"> recorded</w:t>
      </w:r>
      <w:r>
        <w:t xml:space="preserve"> with the consent of respondents.</w:t>
      </w:r>
      <w:r w:rsidR="00942B36">
        <w:t xml:space="preserve"> </w:t>
      </w:r>
      <w:r w:rsidR="00986D08">
        <w:t>Questions were asked regarding six categories</w:t>
      </w:r>
      <w:r>
        <w:t>:</w:t>
      </w:r>
      <w:r w:rsidR="00942B36">
        <w:t xml:space="preserve"> environmental issues, solutions to these issues, values associated </w:t>
      </w:r>
      <w:r w:rsidR="00942B36">
        <w:lastRenderedPageBreak/>
        <w:t>with marine ecosystems, perception of MPAs, perception of the NGO, and perspectives for the future.</w:t>
      </w:r>
    </w:p>
    <w:p w14:paraId="7E77B383" w14:textId="1F187C18" w:rsidR="00D97972" w:rsidRPr="00D97972" w:rsidRDefault="00126EDC" w:rsidP="00D97972">
      <w:pPr>
        <w:pStyle w:val="Paragraphedeliste"/>
        <w:numPr>
          <w:ilvl w:val="0"/>
          <w:numId w:val="3"/>
        </w:numPr>
      </w:pPr>
      <w:r>
        <w:t xml:space="preserve">66 respondents: 59 residents, 5 decision-makers from the municipality and 2 local scientists. </w:t>
      </w:r>
    </w:p>
    <w:p w14:paraId="03FD5D4B" w14:textId="77777777" w:rsidR="00D97972" w:rsidRPr="00D97972" w:rsidRDefault="00D97972" w:rsidP="00D97972">
      <w:pPr>
        <w:pStyle w:val="Paragraphedeliste"/>
        <w:ind w:left="360"/>
        <w:rPr>
          <w:color w:val="A5A5A5" w:themeColor="accent3"/>
        </w:rPr>
      </w:pPr>
    </w:p>
    <w:p w14:paraId="2248E222" w14:textId="512E9B01" w:rsidR="00126EDC" w:rsidRPr="00D97972" w:rsidRDefault="00942B36" w:rsidP="00D97972">
      <w:pPr>
        <w:rPr>
          <w:color w:val="A5A5A5" w:themeColor="accent3"/>
        </w:rPr>
      </w:pPr>
      <w:r w:rsidRPr="00D97972">
        <w:rPr>
          <w:color w:val="A5A5A5" w:themeColor="accent3"/>
        </w:rPr>
        <w:t>/Analyses/</w:t>
      </w:r>
    </w:p>
    <w:p w14:paraId="69412662" w14:textId="68C880FF" w:rsidR="004A7EEB" w:rsidRDefault="00942B36" w:rsidP="00126EDC">
      <w:pPr>
        <w:pStyle w:val="Paragraphedeliste"/>
        <w:numPr>
          <w:ilvl w:val="0"/>
          <w:numId w:val="3"/>
        </w:numPr>
      </w:pPr>
      <w:r>
        <w:t xml:space="preserve">Interviews </w:t>
      </w:r>
      <w:r w:rsidR="00D97972">
        <w:t>were</w:t>
      </w:r>
      <w:r>
        <w:t xml:space="preserve"> transcribed and translated to English</w:t>
      </w:r>
      <w:r w:rsidR="00126EDC">
        <w:t xml:space="preserve"> when originally in Filipino</w:t>
      </w:r>
      <w:r>
        <w:t xml:space="preserve">. Thematic coding </w:t>
      </w:r>
      <w:r w:rsidR="00986D08">
        <w:t xml:space="preserve">was performed </w:t>
      </w:r>
      <w:r>
        <w:t>to extract</w:t>
      </w:r>
      <w:r w:rsidR="00986D08">
        <w:t xml:space="preserve"> and classify</w:t>
      </w:r>
      <w:r>
        <w:t xml:space="preserve"> people’s individual answers. </w:t>
      </w:r>
      <w:r w:rsidR="00986D08">
        <w:t>These perceptions were c</w:t>
      </w:r>
      <w:commentRangeStart w:id="2"/>
      <w:r>
        <w:t>oded in a matrix</w:t>
      </w:r>
      <w:commentRangeEnd w:id="2"/>
      <w:r w:rsidR="004A7EEB">
        <w:rPr>
          <w:rStyle w:val="Marquedecommentaire"/>
        </w:rPr>
        <w:commentReference w:id="2"/>
      </w:r>
      <w:r w:rsidR="00451836">
        <w:t xml:space="preserve"> (SM)</w:t>
      </w:r>
      <w:r>
        <w:t xml:space="preserve">. </w:t>
      </w:r>
    </w:p>
    <w:p w14:paraId="05D4BB43" w14:textId="3346F422" w:rsidR="004A7EEB" w:rsidRDefault="00942B36" w:rsidP="00126EDC">
      <w:pPr>
        <w:pStyle w:val="Paragraphedeliste"/>
        <w:numPr>
          <w:ilvl w:val="0"/>
          <w:numId w:val="3"/>
        </w:numPr>
      </w:pPr>
      <w:r>
        <w:t xml:space="preserve">Bipartite networks to link each respondent with the answers </w:t>
      </w:r>
      <w:r w:rsidR="004A7EEB">
        <w:t xml:space="preserve">they </w:t>
      </w:r>
      <w:r>
        <w:t>gave.</w:t>
      </w:r>
    </w:p>
    <w:p w14:paraId="1182FDE2" w14:textId="47C28E9A" w:rsidR="004A7EEB" w:rsidRDefault="004A7EEB" w:rsidP="00126EDC">
      <w:pPr>
        <w:pStyle w:val="Paragraphedeliste"/>
        <w:numPr>
          <w:ilvl w:val="0"/>
          <w:numId w:val="3"/>
        </w:numPr>
      </w:pPr>
      <w:r>
        <w:t>Bipartite projections</w:t>
      </w:r>
      <w:r w:rsidR="00451836">
        <w:t xml:space="preserve"> to link respondents with respondents, and perceptions with perceptions</w:t>
      </w:r>
      <w:r>
        <w:t>.</w:t>
      </w:r>
    </w:p>
    <w:p w14:paraId="0DE57F71" w14:textId="6D99F8A3" w:rsidR="00451836" w:rsidRDefault="00451836" w:rsidP="00126EDC">
      <w:pPr>
        <w:pStyle w:val="Paragraphedeliste"/>
        <w:numPr>
          <w:ilvl w:val="0"/>
          <w:numId w:val="3"/>
        </w:numPr>
      </w:pPr>
      <w:r>
        <w:t>Community detection to detect clusters of respondents, and responses.</w:t>
      </w:r>
    </w:p>
    <w:p w14:paraId="4A59133E" w14:textId="0D737755" w:rsidR="004A7EEB" w:rsidRDefault="004A7EEB" w:rsidP="00126EDC">
      <w:pPr>
        <w:pStyle w:val="Paragraphedeliste"/>
        <w:numPr>
          <w:ilvl w:val="0"/>
          <w:numId w:val="3"/>
        </w:numPr>
      </w:pPr>
      <w:r>
        <w:t>Chi-2 tests to study each answer’s repartition among the two groups studie</w:t>
      </w:r>
      <w:r w:rsidR="00451836">
        <w:t>d</w:t>
      </w:r>
      <w:r>
        <w:t>.</w:t>
      </w:r>
    </w:p>
    <w:p w14:paraId="45FAD13C" w14:textId="6F099977" w:rsidR="00451836" w:rsidRDefault="00451836" w:rsidP="00524AB2">
      <w:pPr>
        <w:pStyle w:val="Paragraphedeliste"/>
        <w:numPr>
          <w:ilvl w:val="0"/>
          <w:numId w:val="3"/>
        </w:numPr>
      </w:pPr>
      <w:r>
        <w:t>Measuring the diversity of answers given in each group to study the homogeneity of perceptions among each group.</w:t>
      </w:r>
    </w:p>
    <w:p w14:paraId="5E515A79" w14:textId="2B2CB881" w:rsidR="00451836" w:rsidRDefault="00451836" w:rsidP="00524AB2">
      <w:pPr>
        <w:pStyle w:val="Paragraphedeliste"/>
        <w:numPr>
          <w:ilvl w:val="0"/>
          <w:numId w:val="3"/>
        </w:numPr>
      </w:pPr>
      <w:r>
        <w:t>Text mining and semantic networks.</w:t>
      </w:r>
    </w:p>
    <w:p w14:paraId="1088198A" w14:textId="77777777" w:rsidR="00451836" w:rsidRDefault="00451836" w:rsidP="00451836"/>
    <w:p w14:paraId="7DF304BA" w14:textId="507C68D7" w:rsidR="00942B36" w:rsidRDefault="00126EDC" w:rsidP="00942B36">
      <w:pPr>
        <w:pStyle w:val="Paragraphedeliste"/>
        <w:numPr>
          <w:ilvl w:val="0"/>
          <w:numId w:val="3"/>
        </w:numPr>
      </w:pPr>
      <w:r w:rsidRPr="00126EDC">
        <w:rPr>
          <w:noProof/>
        </w:rPr>
        <w:drawing>
          <wp:inline distT="0" distB="0" distL="0" distR="0" wp14:anchorId="3C662B66" wp14:editId="5E8EA15F">
            <wp:extent cx="5760720" cy="35941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594100"/>
                    </a:xfrm>
                    <a:prstGeom prst="rect">
                      <a:avLst/>
                    </a:prstGeom>
                    <a:noFill/>
                    <a:ln>
                      <a:noFill/>
                    </a:ln>
                  </pic:spPr>
                </pic:pic>
              </a:graphicData>
            </a:graphic>
          </wp:inline>
        </w:drawing>
      </w:r>
    </w:p>
    <w:p w14:paraId="6F094190" w14:textId="1AAFC2DE" w:rsidR="00942B36" w:rsidRDefault="00942B36" w:rsidP="00942B36">
      <w:pPr>
        <w:rPr>
          <w:i/>
          <w:iCs/>
        </w:rPr>
      </w:pPr>
      <w:r w:rsidRPr="009F0903">
        <w:rPr>
          <w:i/>
          <w:iCs/>
        </w:rPr>
        <w:t xml:space="preserve">Fig 1. Conceptual diagram of the </w:t>
      </w:r>
      <w:r>
        <w:rPr>
          <w:i/>
          <w:iCs/>
        </w:rPr>
        <w:t>method</w:t>
      </w:r>
      <w:r w:rsidR="00126EDC">
        <w:rPr>
          <w:i/>
          <w:iCs/>
        </w:rPr>
        <w:t xml:space="preserve"> </w:t>
      </w:r>
      <w:r>
        <w:rPr>
          <w:i/>
          <w:iCs/>
        </w:rPr>
        <w:t>designed</w:t>
      </w:r>
      <w:r w:rsidRPr="009F0903">
        <w:rPr>
          <w:i/>
          <w:iCs/>
        </w:rPr>
        <w:t xml:space="preserve"> to build networks of perception </w:t>
      </w:r>
      <w:r w:rsidR="00126EDC">
        <w:rPr>
          <w:i/>
          <w:iCs/>
        </w:rPr>
        <w:t>from</w:t>
      </w:r>
      <w:r w:rsidRPr="009F0903">
        <w:rPr>
          <w:i/>
          <w:iCs/>
        </w:rPr>
        <w:t xml:space="preserve"> open-ended interviews.</w:t>
      </w:r>
    </w:p>
    <w:p w14:paraId="51252407" w14:textId="77777777" w:rsidR="00942B36" w:rsidRPr="009F0903" w:rsidRDefault="00942B36" w:rsidP="00942B36">
      <w:pPr>
        <w:rPr>
          <w:i/>
          <w:iCs/>
        </w:rPr>
      </w:pPr>
    </w:p>
    <w:p w14:paraId="18E3FDFB" w14:textId="77777777" w:rsidR="00942B36" w:rsidRDefault="00942B36" w:rsidP="00942B36">
      <w:pPr>
        <w:pStyle w:val="Titre2"/>
      </w:pPr>
      <w:r>
        <w:t>3. Results</w:t>
      </w:r>
    </w:p>
    <w:p w14:paraId="0EF2510B" w14:textId="73028054" w:rsidR="00A076EC" w:rsidRDefault="00A076EC" w:rsidP="00A076EC"/>
    <w:p w14:paraId="60B6560F" w14:textId="1DA7E84B" w:rsidR="004A7EEB" w:rsidRPr="00D97972" w:rsidRDefault="004A7EEB" w:rsidP="004A7EEB">
      <w:pPr>
        <w:rPr>
          <w:color w:val="A5A5A5" w:themeColor="accent3"/>
        </w:rPr>
      </w:pPr>
      <w:commentRangeStart w:id="3"/>
      <w:r w:rsidRPr="00D97972">
        <w:rPr>
          <w:color w:val="A5A5A5" w:themeColor="accent3"/>
        </w:rPr>
        <w:t>/</w:t>
      </w:r>
      <w:r>
        <w:rPr>
          <w:color w:val="A5A5A5" w:themeColor="accent3"/>
        </w:rPr>
        <w:t xml:space="preserve">3.1 </w:t>
      </w:r>
      <w:r w:rsidR="005E24E8">
        <w:rPr>
          <w:color w:val="A5A5A5" w:themeColor="accent3"/>
        </w:rPr>
        <w:t>Setting the scene: the most common perceptions of environmental issues</w:t>
      </w:r>
      <w:r w:rsidRPr="00D97972">
        <w:rPr>
          <w:color w:val="A5A5A5" w:themeColor="accent3"/>
        </w:rPr>
        <w:t>/</w:t>
      </w:r>
      <w:commentRangeEnd w:id="3"/>
      <w:r w:rsidR="005025A7">
        <w:rPr>
          <w:rStyle w:val="Marquedecommentaire"/>
        </w:rPr>
        <w:commentReference w:id="3"/>
      </w:r>
    </w:p>
    <w:p w14:paraId="4201F8E6" w14:textId="09204FF5" w:rsidR="004A7EEB" w:rsidRDefault="004A7EEB" w:rsidP="004A7EEB">
      <w:pPr>
        <w:pStyle w:val="Paragraphedeliste"/>
        <w:numPr>
          <w:ilvl w:val="0"/>
          <w:numId w:val="3"/>
        </w:numPr>
      </w:pPr>
      <w:r>
        <w:lastRenderedPageBreak/>
        <w:t xml:space="preserve">174 individual perceptions were </w:t>
      </w:r>
      <w:r w:rsidR="0075699F">
        <w:t>identified in the 66 interviews</w:t>
      </w:r>
      <w:r w:rsidR="005025A7">
        <w:t>.</w:t>
      </w:r>
      <w:r>
        <w:t xml:space="preserve"> Table 1 </w:t>
      </w:r>
      <w:r w:rsidR="0075699F">
        <w:t>illustrates</w:t>
      </w:r>
      <w:r>
        <w:t xml:space="preserve"> the most common ones per category of </w:t>
      </w:r>
      <w:r w:rsidR="005025A7">
        <w:t>perception</w:t>
      </w:r>
      <w:r>
        <w:t xml:space="preserve"> and the code used for each one.</w:t>
      </w:r>
    </w:p>
    <w:p w14:paraId="1194C007" w14:textId="709AE596" w:rsidR="005025A7" w:rsidRDefault="005025A7" w:rsidP="004A7EEB">
      <w:pPr>
        <w:pStyle w:val="Paragraphedeliste"/>
        <w:numPr>
          <w:ilvl w:val="0"/>
          <w:numId w:val="3"/>
        </w:numPr>
      </w:pPr>
      <w:r>
        <w:t xml:space="preserve">Issues identified </w:t>
      </w:r>
      <w:r w:rsidR="0075699F">
        <w:t xml:space="preserve">were </w:t>
      </w:r>
      <w:r>
        <w:t>mostly related to illegal practices (</w:t>
      </w:r>
      <w:proofErr w:type="gramStart"/>
      <w:r>
        <w:t>e.g.</w:t>
      </w:r>
      <w:proofErr w:type="gramEnd"/>
      <w:r>
        <w:t xml:space="preserve"> dynamite and cyanide fishing), overfishing, as well as land-based and terrestrial issues.</w:t>
      </w:r>
    </w:p>
    <w:p w14:paraId="1B27CA06" w14:textId="455AC3B1" w:rsidR="005025A7" w:rsidRDefault="005025A7" w:rsidP="004A7EEB">
      <w:pPr>
        <w:pStyle w:val="Paragraphedeliste"/>
        <w:numPr>
          <w:ilvl w:val="0"/>
          <w:numId w:val="3"/>
        </w:numPr>
      </w:pPr>
      <w:r>
        <w:t>Solutions identified were diverse: law enforcement, designation of MPAs, etc. A number of respondents could not identify any solution.</w:t>
      </w:r>
    </w:p>
    <w:p w14:paraId="461248F9" w14:textId="5CFD70D3" w:rsidR="005025A7" w:rsidRDefault="005025A7" w:rsidP="004A7EEB">
      <w:pPr>
        <w:pStyle w:val="Paragraphedeliste"/>
        <w:numPr>
          <w:ilvl w:val="0"/>
          <w:numId w:val="3"/>
        </w:numPr>
      </w:pPr>
      <w:r>
        <w:t xml:space="preserve">Values associated with the marine environment were almost exclusively linked to food security and livelihood. A few marginal respondents noted the importance of species and nature </w:t>
      </w:r>
      <w:r w:rsidRPr="005025A7">
        <w:rPr>
          <w:i/>
          <w:iCs/>
        </w:rPr>
        <w:t>per se</w:t>
      </w:r>
      <w:r w:rsidR="0075699F">
        <w:t>, and for the next generation</w:t>
      </w:r>
      <w:r>
        <w:t>.</w:t>
      </w:r>
    </w:p>
    <w:p w14:paraId="6B5DCAF5" w14:textId="21B3DEE1" w:rsidR="005025A7" w:rsidRDefault="005025A7" w:rsidP="004A7EEB">
      <w:pPr>
        <w:pStyle w:val="Paragraphedeliste"/>
        <w:numPr>
          <w:ilvl w:val="0"/>
          <w:numId w:val="3"/>
        </w:numPr>
      </w:pPr>
      <w:r>
        <w:t>MPAs were generally perceived</w:t>
      </w:r>
      <w:r w:rsidR="0075699F">
        <w:t xml:space="preserve"> positively</w:t>
      </w:r>
      <w:r>
        <w:t xml:space="preserve">. </w:t>
      </w:r>
      <w:r w:rsidR="0075699F">
        <w:t xml:space="preserve">Overall, </w:t>
      </w:r>
      <w:r>
        <w:t xml:space="preserve">92% of respondents declared knowing what MPAs are. Their goal was perceived in diverse ways, yet mostly about fishing and local people. Some respondents perceived them as private areas, which is common in </w:t>
      </w:r>
      <w:r w:rsidR="00A9032D">
        <w:t>touristic areas</w:t>
      </w:r>
      <w:r>
        <w:t xml:space="preserve"> (</w:t>
      </w:r>
      <w:r w:rsidRPr="0075699F">
        <w:rPr>
          <w:highlight w:val="yellow"/>
        </w:rPr>
        <w:t>REF</w:t>
      </w:r>
      <w:r w:rsidR="0075699F">
        <w:t xml:space="preserve">, </w:t>
      </w:r>
      <w:proofErr w:type="spellStart"/>
      <w:r w:rsidR="0075699F" w:rsidRPr="0075699F">
        <w:rPr>
          <w:highlight w:val="yellow"/>
        </w:rPr>
        <w:t>Fabinyi</w:t>
      </w:r>
      <w:proofErr w:type="spellEnd"/>
      <w:r w:rsidR="0075699F">
        <w:t>?</w:t>
      </w:r>
      <w:r>
        <w:t xml:space="preserve">). </w:t>
      </w:r>
    </w:p>
    <w:p w14:paraId="55B7B0BA" w14:textId="653B4D3C" w:rsidR="00A9032D" w:rsidRDefault="00A9032D" w:rsidP="004A7EEB">
      <w:pPr>
        <w:pStyle w:val="Paragraphedeliste"/>
        <w:numPr>
          <w:ilvl w:val="0"/>
          <w:numId w:val="3"/>
        </w:numPr>
      </w:pPr>
      <w:r>
        <w:t xml:space="preserve">The NGO was, as expected, mostly known in </w:t>
      </w:r>
      <w:proofErr w:type="spellStart"/>
      <w:r>
        <w:t>Depla</w:t>
      </w:r>
      <w:proofErr w:type="spellEnd"/>
      <w:r>
        <w:t xml:space="preserve"> and Sandoval. It was generally well perceived, and few comments were made on their actions. Mostly, their MPA was judged efficient (</w:t>
      </w:r>
      <w:r w:rsidRPr="0075699F">
        <w:rPr>
          <w:highlight w:val="yellow"/>
        </w:rPr>
        <w:t>citation</w:t>
      </w:r>
      <w:r>
        <w:t>). The only recommendations made by a few respondents were to develop more their projects, better involve local actors and authorities, and help to enforce local laws (on illegal fishing).</w:t>
      </w:r>
    </w:p>
    <w:p w14:paraId="536AC5C2" w14:textId="1DC17DD1" w:rsidR="007E141E" w:rsidRDefault="007E141E" w:rsidP="00A076EC"/>
    <w:tbl>
      <w:tblPr>
        <w:tblW w:w="9483" w:type="dxa"/>
        <w:tblLook w:val="04A0" w:firstRow="1" w:lastRow="0" w:firstColumn="1" w:lastColumn="0" w:noHBand="0" w:noVBand="1"/>
      </w:tblPr>
      <w:tblGrid>
        <w:gridCol w:w="891"/>
        <w:gridCol w:w="2497"/>
        <w:gridCol w:w="4971"/>
        <w:gridCol w:w="1151"/>
      </w:tblGrid>
      <w:tr w:rsidR="00F73101" w:rsidRPr="00F73101" w14:paraId="554C1A6D" w14:textId="77777777" w:rsidTr="0048132A">
        <w:trPr>
          <w:trHeight w:val="513"/>
        </w:trPr>
        <w:tc>
          <w:tcPr>
            <w:tcW w:w="89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89C330E" w14:textId="77777777" w:rsidR="00F73101" w:rsidRPr="0048132A" w:rsidRDefault="00F73101" w:rsidP="00F73101">
            <w:pPr>
              <w:spacing w:after="0" w:line="240" w:lineRule="auto"/>
              <w:jc w:val="center"/>
              <w:rPr>
                <w:rFonts w:ascii="Calibri" w:eastAsia="Times New Roman" w:hAnsi="Calibri" w:cs="Calibri"/>
                <w:b/>
                <w:bCs/>
                <w:color w:val="FFFFFF"/>
                <w:sz w:val="18"/>
                <w:szCs w:val="18"/>
              </w:rPr>
            </w:pPr>
            <w:r w:rsidRPr="0048132A">
              <w:rPr>
                <w:rFonts w:ascii="Calibri" w:eastAsia="Times New Roman" w:hAnsi="Calibri" w:cs="Calibri"/>
                <w:b/>
                <w:bCs/>
                <w:color w:val="FFFFFF"/>
                <w:sz w:val="18"/>
                <w:szCs w:val="18"/>
              </w:rPr>
              <w:t>Category</w:t>
            </w:r>
          </w:p>
        </w:tc>
        <w:tc>
          <w:tcPr>
            <w:tcW w:w="2497" w:type="dxa"/>
            <w:tcBorders>
              <w:top w:val="single" w:sz="4" w:space="0" w:color="auto"/>
              <w:left w:val="nil"/>
              <w:bottom w:val="single" w:sz="4" w:space="0" w:color="auto"/>
              <w:right w:val="single" w:sz="4" w:space="0" w:color="auto"/>
            </w:tcBorders>
            <w:shd w:val="clear" w:color="000000" w:fill="000000"/>
            <w:noWrap/>
            <w:vAlign w:val="center"/>
            <w:hideMark/>
          </w:tcPr>
          <w:p w14:paraId="6B5F4C97" w14:textId="77777777" w:rsidR="00F73101" w:rsidRPr="0048132A" w:rsidRDefault="00F73101" w:rsidP="00F73101">
            <w:pPr>
              <w:spacing w:after="0" w:line="240" w:lineRule="auto"/>
              <w:jc w:val="center"/>
              <w:rPr>
                <w:rFonts w:ascii="Calibri" w:eastAsia="Times New Roman" w:hAnsi="Calibri" w:cs="Calibri"/>
                <w:b/>
                <w:bCs/>
                <w:color w:val="FFFFFF"/>
                <w:sz w:val="18"/>
                <w:szCs w:val="18"/>
              </w:rPr>
            </w:pPr>
            <w:r w:rsidRPr="0048132A">
              <w:rPr>
                <w:rFonts w:ascii="Calibri" w:eastAsia="Times New Roman" w:hAnsi="Calibri" w:cs="Calibri"/>
                <w:b/>
                <w:bCs/>
                <w:color w:val="FFFFFF"/>
                <w:sz w:val="18"/>
                <w:szCs w:val="18"/>
              </w:rPr>
              <w:t>Code</w:t>
            </w:r>
          </w:p>
        </w:tc>
        <w:tc>
          <w:tcPr>
            <w:tcW w:w="4971" w:type="dxa"/>
            <w:tcBorders>
              <w:top w:val="single" w:sz="4" w:space="0" w:color="auto"/>
              <w:left w:val="nil"/>
              <w:bottom w:val="single" w:sz="4" w:space="0" w:color="auto"/>
              <w:right w:val="single" w:sz="4" w:space="0" w:color="auto"/>
            </w:tcBorders>
            <w:shd w:val="clear" w:color="000000" w:fill="000000"/>
            <w:noWrap/>
            <w:vAlign w:val="center"/>
            <w:hideMark/>
          </w:tcPr>
          <w:p w14:paraId="420A3903" w14:textId="77777777" w:rsidR="00F73101" w:rsidRPr="0048132A" w:rsidRDefault="00F73101" w:rsidP="00F73101">
            <w:pPr>
              <w:spacing w:after="0" w:line="240" w:lineRule="auto"/>
              <w:jc w:val="center"/>
              <w:rPr>
                <w:rFonts w:ascii="Calibri" w:eastAsia="Times New Roman" w:hAnsi="Calibri" w:cs="Calibri"/>
                <w:b/>
                <w:bCs/>
                <w:color w:val="FFFFFF"/>
                <w:sz w:val="18"/>
                <w:szCs w:val="18"/>
              </w:rPr>
            </w:pPr>
            <w:r w:rsidRPr="0048132A">
              <w:rPr>
                <w:rFonts w:ascii="Calibri" w:eastAsia="Times New Roman" w:hAnsi="Calibri" w:cs="Calibri"/>
                <w:b/>
                <w:bCs/>
                <w:color w:val="FFFFFF"/>
                <w:sz w:val="18"/>
                <w:szCs w:val="18"/>
              </w:rPr>
              <w:t>Perception</w:t>
            </w:r>
          </w:p>
        </w:tc>
        <w:tc>
          <w:tcPr>
            <w:tcW w:w="1124" w:type="dxa"/>
            <w:tcBorders>
              <w:top w:val="single" w:sz="4" w:space="0" w:color="auto"/>
              <w:left w:val="nil"/>
              <w:bottom w:val="single" w:sz="4" w:space="0" w:color="auto"/>
              <w:right w:val="single" w:sz="4" w:space="0" w:color="auto"/>
            </w:tcBorders>
            <w:shd w:val="clear" w:color="000000" w:fill="000000"/>
            <w:vAlign w:val="center"/>
            <w:hideMark/>
          </w:tcPr>
          <w:p w14:paraId="1D3A012F" w14:textId="77777777" w:rsidR="00F73101" w:rsidRPr="0048132A" w:rsidRDefault="00F73101" w:rsidP="00F73101">
            <w:pPr>
              <w:spacing w:after="0" w:line="240" w:lineRule="auto"/>
              <w:jc w:val="center"/>
              <w:rPr>
                <w:rFonts w:ascii="Calibri" w:eastAsia="Times New Roman" w:hAnsi="Calibri" w:cs="Calibri"/>
                <w:b/>
                <w:bCs/>
                <w:color w:val="FFFFFF"/>
                <w:sz w:val="18"/>
                <w:szCs w:val="18"/>
              </w:rPr>
            </w:pPr>
            <w:r w:rsidRPr="0048132A">
              <w:rPr>
                <w:rFonts w:ascii="Calibri" w:eastAsia="Times New Roman" w:hAnsi="Calibri" w:cs="Calibri"/>
                <w:b/>
                <w:bCs/>
                <w:color w:val="FFFFFF"/>
                <w:sz w:val="18"/>
                <w:szCs w:val="18"/>
              </w:rPr>
              <w:t>Number of respondents</w:t>
            </w:r>
          </w:p>
        </w:tc>
      </w:tr>
      <w:tr w:rsidR="005E24E8" w:rsidRPr="00F73101" w14:paraId="01E516F3" w14:textId="77777777" w:rsidTr="0048132A">
        <w:trPr>
          <w:trHeight w:val="256"/>
        </w:trPr>
        <w:tc>
          <w:tcPr>
            <w:tcW w:w="8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9EA3D5" w14:textId="64F4FEB7" w:rsidR="00F73101" w:rsidRPr="0048132A" w:rsidRDefault="00F73101" w:rsidP="00F73101">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Issue</w:t>
            </w:r>
            <w:r w:rsidR="005E24E8" w:rsidRPr="0048132A">
              <w:rPr>
                <w:rFonts w:ascii="Calibri" w:eastAsia="Times New Roman" w:hAnsi="Calibri" w:cs="Calibri"/>
                <w:color w:val="000000"/>
                <w:sz w:val="18"/>
                <w:szCs w:val="18"/>
              </w:rPr>
              <w:t>s</w:t>
            </w:r>
          </w:p>
        </w:tc>
        <w:tc>
          <w:tcPr>
            <w:tcW w:w="2497" w:type="dxa"/>
            <w:tcBorders>
              <w:top w:val="nil"/>
              <w:left w:val="nil"/>
              <w:bottom w:val="single" w:sz="4" w:space="0" w:color="auto"/>
              <w:right w:val="single" w:sz="4" w:space="0" w:color="auto"/>
            </w:tcBorders>
            <w:shd w:val="clear" w:color="D9D9D9" w:fill="D9D9D9"/>
            <w:noWrap/>
            <w:vAlign w:val="bottom"/>
            <w:hideMark/>
          </w:tcPr>
          <w:p w14:paraId="58001338"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issue_few_fish</w:t>
            </w:r>
            <w:proofErr w:type="spellEnd"/>
          </w:p>
        </w:tc>
        <w:tc>
          <w:tcPr>
            <w:tcW w:w="4971" w:type="dxa"/>
            <w:tcBorders>
              <w:top w:val="nil"/>
              <w:left w:val="nil"/>
              <w:bottom w:val="single" w:sz="4" w:space="0" w:color="auto"/>
              <w:right w:val="single" w:sz="4" w:space="0" w:color="auto"/>
            </w:tcBorders>
            <w:shd w:val="clear" w:color="D9D9D9" w:fill="D9D9D9"/>
            <w:noWrap/>
            <w:vAlign w:val="bottom"/>
            <w:hideMark/>
          </w:tcPr>
          <w:p w14:paraId="15EE3A51"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An issue here is the decrease in fish stocks.</w:t>
            </w:r>
          </w:p>
        </w:tc>
        <w:tc>
          <w:tcPr>
            <w:tcW w:w="1124" w:type="dxa"/>
            <w:tcBorders>
              <w:top w:val="nil"/>
              <w:left w:val="nil"/>
              <w:bottom w:val="single" w:sz="4" w:space="0" w:color="auto"/>
              <w:right w:val="single" w:sz="4" w:space="0" w:color="auto"/>
            </w:tcBorders>
            <w:shd w:val="clear" w:color="D9D9D9" w:fill="D9D9D9"/>
            <w:noWrap/>
            <w:vAlign w:val="bottom"/>
            <w:hideMark/>
          </w:tcPr>
          <w:p w14:paraId="6F3FE946"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44</w:t>
            </w:r>
          </w:p>
        </w:tc>
      </w:tr>
      <w:tr w:rsidR="00F73101" w:rsidRPr="00F73101" w14:paraId="36C90B74"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4CAE06C6"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4B46B100"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issue_illegal_fishing</w:t>
            </w:r>
            <w:proofErr w:type="spellEnd"/>
          </w:p>
        </w:tc>
        <w:tc>
          <w:tcPr>
            <w:tcW w:w="4971" w:type="dxa"/>
            <w:tcBorders>
              <w:top w:val="nil"/>
              <w:left w:val="nil"/>
              <w:bottom w:val="single" w:sz="4" w:space="0" w:color="auto"/>
              <w:right w:val="single" w:sz="4" w:space="0" w:color="auto"/>
            </w:tcBorders>
            <w:shd w:val="clear" w:color="auto" w:fill="auto"/>
            <w:noWrap/>
            <w:vAlign w:val="bottom"/>
            <w:hideMark/>
          </w:tcPr>
          <w:p w14:paraId="72011A06"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An issue here is illegal fishing.</w:t>
            </w:r>
          </w:p>
        </w:tc>
        <w:tc>
          <w:tcPr>
            <w:tcW w:w="1124" w:type="dxa"/>
            <w:tcBorders>
              <w:top w:val="nil"/>
              <w:left w:val="nil"/>
              <w:bottom w:val="single" w:sz="4" w:space="0" w:color="auto"/>
              <w:right w:val="single" w:sz="4" w:space="0" w:color="auto"/>
            </w:tcBorders>
            <w:shd w:val="clear" w:color="auto" w:fill="auto"/>
            <w:noWrap/>
            <w:vAlign w:val="bottom"/>
            <w:hideMark/>
          </w:tcPr>
          <w:p w14:paraId="2F504DE5"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47</w:t>
            </w:r>
          </w:p>
        </w:tc>
      </w:tr>
      <w:tr w:rsidR="005E24E8" w:rsidRPr="00F73101" w14:paraId="0E72771A"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59C942FF"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D9D9D9" w:fill="D9D9D9"/>
            <w:noWrap/>
            <w:vAlign w:val="bottom"/>
            <w:hideMark/>
          </w:tcPr>
          <w:p w14:paraId="191C1305"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issue_no</w:t>
            </w:r>
            <w:proofErr w:type="spellEnd"/>
          </w:p>
        </w:tc>
        <w:tc>
          <w:tcPr>
            <w:tcW w:w="4971" w:type="dxa"/>
            <w:tcBorders>
              <w:top w:val="nil"/>
              <w:left w:val="nil"/>
              <w:bottom w:val="single" w:sz="4" w:space="0" w:color="auto"/>
              <w:right w:val="single" w:sz="4" w:space="0" w:color="auto"/>
            </w:tcBorders>
            <w:shd w:val="clear" w:color="D9D9D9" w:fill="D9D9D9"/>
            <w:noWrap/>
            <w:vAlign w:val="bottom"/>
            <w:hideMark/>
          </w:tcPr>
          <w:p w14:paraId="65126D3F"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 cannot identify any environmental or fishery issue here.</w:t>
            </w:r>
          </w:p>
        </w:tc>
        <w:tc>
          <w:tcPr>
            <w:tcW w:w="1124" w:type="dxa"/>
            <w:tcBorders>
              <w:top w:val="nil"/>
              <w:left w:val="nil"/>
              <w:bottom w:val="single" w:sz="4" w:space="0" w:color="auto"/>
              <w:right w:val="single" w:sz="4" w:space="0" w:color="auto"/>
            </w:tcBorders>
            <w:shd w:val="clear" w:color="D9D9D9" w:fill="D9D9D9"/>
            <w:noWrap/>
            <w:vAlign w:val="bottom"/>
            <w:hideMark/>
          </w:tcPr>
          <w:p w14:paraId="0EF60034"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15</w:t>
            </w:r>
          </w:p>
        </w:tc>
      </w:tr>
      <w:tr w:rsidR="005E24E8" w:rsidRPr="00F73101" w14:paraId="254CA01B" w14:textId="77777777" w:rsidTr="0048132A">
        <w:trPr>
          <w:trHeight w:val="256"/>
        </w:trPr>
        <w:tc>
          <w:tcPr>
            <w:tcW w:w="891" w:type="dxa"/>
            <w:vMerge w:val="restart"/>
            <w:tcBorders>
              <w:top w:val="nil"/>
              <w:left w:val="single" w:sz="4" w:space="0" w:color="auto"/>
              <w:bottom w:val="single" w:sz="4" w:space="0" w:color="auto"/>
              <w:right w:val="single" w:sz="4" w:space="0" w:color="auto"/>
            </w:tcBorders>
            <w:shd w:val="clear" w:color="D9D9D9" w:fill="D9D9D9"/>
            <w:noWrap/>
            <w:vAlign w:val="center"/>
            <w:hideMark/>
          </w:tcPr>
          <w:p w14:paraId="584FDA5D" w14:textId="25DC911E" w:rsidR="00F73101" w:rsidRPr="0048132A" w:rsidRDefault="00F73101" w:rsidP="00F73101">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Solution</w:t>
            </w:r>
            <w:r w:rsidR="005E24E8" w:rsidRPr="0048132A">
              <w:rPr>
                <w:rFonts w:ascii="Calibri" w:eastAsia="Times New Roman" w:hAnsi="Calibri" w:cs="Calibri"/>
                <w:color w:val="000000"/>
                <w:sz w:val="18"/>
                <w:szCs w:val="18"/>
              </w:rPr>
              <w:t>s</w:t>
            </w:r>
          </w:p>
        </w:tc>
        <w:tc>
          <w:tcPr>
            <w:tcW w:w="2497" w:type="dxa"/>
            <w:tcBorders>
              <w:top w:val="nil"/>
              <w:left w:val="nil"/>
              <w:bottom w:val="single" w:sz="4" w:space="0" w:color="auto"/>
              <w:right w:val="single" w:sz="4" w:space="0" w:color="auto"/>
            </w:tcBorders>
            <w:shd w:val="clear" w:color="auto" w:fill="auto"/>
            <w:noWrap/>
            <w:vAlign w:val="bottom"/>
            <w:hideMark/>
          </w:tcPr>
          <w:p w14:paraId="0A790B4A"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solution_alternative_livelihood</w:t>
            </w:r>
            <w:proofErr w:type="spellEnd"/>
          </w:p>
        </w:tc>
        <w:tc>
          <w:tcPr>
            <w:tcW w:w="4971" w:type="dxa"/>
            <w:tcBorders>
              <w:top w:val="nil"/>
              <w:left w:val="nil"/>
              <w:bottom w:val="single" w:sz="4" w:space="0" w:color="auto"/>
              <w:right w:val="single" w:sz="4" w:space="0" w:color="auto"/>
            </w:tcBorders>
            <w:shd w:val="clear" w:color="auto" w:fill="auto"/>
            <w:noWrap/>
            <w:vAlign w:val="bottom"/>
            <w:hideMark/>
          </w:tcPr>
          <w:p w14:paraId="60B2BFC4"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A solution to environmental issues here is alternative livelihoods.</w:t>
            </w:r>
          </w:p>
        </w:tc>
        <w:tc>
          <w:tcPr>
            <w:tcW w:w="1124" w:type="dxa"/>
            <w:tcBorders>
              <w:top w:val="nil"/>
              <w:left w:val="nil"/>
              <w:bottom w:val="single" w:sz="4" w:space="0" w:color="auto"/>
              <w:right w:val="single" w:sz="4" w:space="0" w:color="auto"/>
            </w:tcBorders>
            <w:shd w:val="clear" w:color="auto" w:fill="auto"/>
            <w:noWrap/>
            <w:vAlign w:val="bottom"/>
            <w:hideMark/>
          </w:tcPr>
          <w:p w14:paraId="4473B0A6"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11</w:t>
            </w:r>
          </w:p>
        </w:tc>
      </w:tr>
      <w:tr w:rsidR="005E24E8" w:rsidRPr="00F73101" w14:paraId="56E79FCB"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07A6F072"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D9D9D9" w:fill="D9D9D9"/>
            <w:noWrap/>
            <w:vAlign w:val="bottom"/>
            <w:hideMark/>
          </w:tcPr>
          <w:p w14:paraId="2A630794" w14:textId="54D8553D"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solution_no_idea</w:t>
            </w:r>
            <w:proofErr w:type="spellEnd"/>
          </w:p>
        </w:tc>
        <w:tc>
          <w:tcPr>
            <w:tcW w:w="4971" w:type="dxa"/>
            <w:tcBorders>
              <w:top w:val="nil"/>
              <w:left w:val="nil"/>
              <w:bottom w:val="single" w:sz="4" w:space="0" w:color="auto"/>
              <w:right w:val="single" w:sz="4" w:space="0" w:color="auto"/>
            </w:tcBorders>
            <w:shd w:val="clear" w:color="D9D9D9" w:fill="D9D9D9"/>
            <w:noWrap/>
            <w:vAlign w:val="bottom"/>
            <w:hideMark/>
          </w:tcPr>
          <w:p w14:paraId="34267B27"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 cannot identify any solution for environmental issues.</w:t>
            </w:r>
          </w:p>
        </w:tc>
        <w:tc>
          <w:tcPr>
            <w:tcW w:w="1124" w:type="dxa"/>
            <w:tcBorders>
              <w:top w:val="nil"/>
              <w:left w:val="nil"/>
              <w:bottom w:val="single" w:sz="4" w:space="0" w:color="auto"/>
              <w:right w:val="single" w:sz="4" w:space="0" w:color="auto"/>
            </w:tcBorders>
            <w:shd w:val="clear" w:color="D9D9D9" w:fill="D9D9D9"/>
            <w:noWrap/>
            <w:vAlign w:val="bottom"/>
            <w:hideMark/>
          </w:tcPr>
          <w:p w14:paraId="434F5E76"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13</w:t>
            </w:r>
          </w:p>
        </w:tc>
      </w:tr>
      <w:tr w:rsidR="00F73101" w:rsidRPr="00F73101" w14:paraId="62AD9C30"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0EEA212A"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470709BF"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solution_patrolling</w:t>
            </w:r>
            <w:proofErr w:type="spellEnd"/>
          </w:p>
        </w:tc>
        <w:tc>
          <w:tcPr>
            <w:tcW w:w="4971" w:type="dxa"/>
            <w:tcBorders>
              <w:top w:val="nil"/>
              <w:left w:val="nil"/>
              <w:bottom w:val="single" w:sz="4" w:space="0" w:color="auto"/>
              <w:right w:val="single" w:sz="4" w:space="0" w:color="auto"/>
            </w:tcBorders>
            <w:shd w:val="clear" w:color="auto" w:fill="auto"/>
            <w:noWrap/>
            <w:vAlign w:val="bottom"/>
            <w:hideMark/>
          </w:tcPr>
          <w:p w14:paraId="740DB4C8"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A solution to environmental issues here is patrolling.</w:t>
            </w:r>
          </w:p>
        </w:tc>
        <w:tc>
          <w:tcPr>
            <w:tcW w:w="1124" w:type="dxa"/>
            <w:tcBorders>
              <w:top w:val="nil"/>
              <w:left w:val="nil"/>
              <w:bottom w:val="single" w:sz="4" w:space="0" w:color="auto"/>
              <w:right w:val="single" w:sz="4" w:space="0" w:color="auto"/>
            </w:tcBorders>
            <w:shd w:val="clear" w:color="auto" w:fill="auto"/>
            <w:noWrap/>
            <w:vAlign w:val="bottom"/>
            <w:hideMark/>
          </w:tcPr>
          <w:p w14:paraId="4CDD5909"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17</w:t>
            </w:r>
          </w:p>
        </w:tc>
      </w:tr>
      <w:tr w:rsidR="005E24E8" w:rsidRPr="00F73101" w14:paraId="120D91DB" w14:textId="77777777" w:rsidTr="0048132A">
        <w:trPr>
          <w:trHeight w:val="256"/>
        </w:trPr>
        <w:tc>
          <w:tcPr>
            <w:tcW w:w="891" w:type="dxa"/>
            <w:vMerge w:val="restart"/>
            <w:tcBorders>
              <w:top w:val="nil"/>
              <w:left w:val="single" w:sz="4" w:space="0" w:color="auto"/>
              <w:bottom w:val="single" w:sz="4" w:space="0" w:color="auto"/>
              <w:right w:val="single" w:sz="4" w:space="0" w:color="auto"/>
            </w:tcBorders>
            <w:shd w:val="clear" w:color="D9D9D9" w:fill="D9D9D9"/>
            <w:noWrap/>
            <w:vAlign w:val="center"/>
            <w:hideMark/>
          </w:tcPr>
          <w:p w14:paraId="394DC92F" w14:textId="19B7EF30" w:rsidR="00F73101" w:rsidRPr="0048132A" w:rsidRDefault="00F73101" w:rsidP="00F73101">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Value</w:t>
            </w:r>
            <w:r w:rsidR="005E24E8" w:rsidRPr="0048132A">
              <w:rPr>
                <w:rFonts w:ascii="Calibri" w:eastAsia="Times New Roman" w:hAnsi="Calibri" w:cs="Calibri"/>
                <w:color w:val="000000"/>
                <w:sz w:val="18"/>
                <w:szCs w:val="18"/>
              </w:rPr>
              <w:t>s</w:t>
            </w:r>
          </w:p>
        </w:tc>
        <w:tc>
          <w:tcPr>
            <w:tcW w:w="2497" w:type="dxa"/>
            <w:tcBorders>
              <w:top w:val="nil"/>
              <w:left w:val="nil"/>
              <w:bottom w:val="single" w:sz="4" w:space="0" w:color="auto"/>
              <w:right w:val="single" w:sz="4" w:space="0" w:color="auto"/>
            </w:tcBorders>
            <w:shd w:val="clear" w:color="D9D9D9" w:fill="D9D9D9"/>
            <w:noWrap/>
            <w:vAlign w:val="bottom"/>
            <w:hideMark/>
          </w:tcPr>
          <w:p w14:paraId="782BF18E"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value_food</w:t>
            </w:r>
            <w:proofErr w:type="spellEnd"/>
          </w:p>
        </w:tc>
        <w:tc>
          <w:tcPr>
            <w:tcW w:w="4971" w:type="dxa"/>
            <w:tcBorders>
              <w:top w:val="nil"/>
              <w:left w:val="nil"/>
              <w:bottom w:val="single" w:sz="4" w:space="0" w:color="auto"/>
              <w:right w:val="single" w:sz="4" w:space="0" w:color="auto"/>
            </w:tcBorders>
            <w:shd w:val="clear" w:color="D9D9D9" w:fill="D9D9D9"/>
            <w:noWrap/>
            <w:vAlign w:val="bottom"/>
            <w:hideMark/>
          </w:tcPr>
          <w:p w14:paraId="48DEBA7D"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The marine environment is valuable for the food it brings us.</w:t>
            </w:r>
          </w:p>
        </w:tc>
        <w:tc>
          <w:tcPr>
            <w:tcW w:w="1124" w:type="dxa"/>
            <w:tcBorders>
              <w:top w:val="nil"/>
              <w:left w:val="nil"/>
              <w:bottom w:val="single" w:sz="4" w:space="0" w:color="auto"/>
              <w:right w:val="single" w:sz="4" w:space="0" w:color="auto"/>
            </w:tcBorders>
            <w:shd w:val="clear" w:color="D9D9D9" w:fill="D9D9D9"/>
            <w:noWrap/>
            <w:vAlign w:val="bottom"/>
            <w:hideMark/>
          </w:tcPr>
          <w:p w14:paraId="23A52873"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35</w:t>
            </w:r>
          </w:p>
        </w:tc>
      </w:tr>
      <w:tr w:rsidR="00F73101" w:rsidRPr="00F73101" w14:paraId="6C63DFF7"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2DA13C60"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1D960319"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value_livelihood</w:t>
            </w:r>
            <w:proofErr w:type="spellEnd"/>
          </w:p>
        </w:tc>
        <w:tc>
          <w:tcPr>
            <w:tcW w:w="4971" w:type="dxa"/>
            <w:tcBorders>
              <w:top w:val="nil"/>
              <w:left w:val="nil"/>
              <w:bottom w:val="single" w:sz="4" w:space="0" w:color="auto"/>
              <w:right w:val="single" w:sz="4" w:space="0" w:color="auto"/>
            </w:tcBorders>
            <w:shd w:val="clear" w:color="auto" w:fill="auto"/>
            <w:noWrap/>
            <w:vAlign w:val="bottom"/>
            <w:hideMark/>
          </w:tcPr>
          <w:p w14:paraId="1F018FDB" w14:textId="68D2D6EF"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 xml:space="preserve">The marine environment is valuable for </w:t>
            </w:r>
            <w:r w:rsidR="0048132A">
              <w:rPr>
                <w:rFonts w:ascii="Calibri" w:eastAsia="Times New Roman" w:hAnsi="Calibri" w:cs="Calibri"/>
                <w:i/>
                <w:iCs/>
                <w:color w:val="000000"/>
                <w:sz w:val="18"/>
                <w:szCs w:val="18"/>
              </w:rPr>
              <w:t>our livelihoods</w:t>
            </w:r>
            <w:r w:rsidRPr="0048132A">
              <w:rPr>
                <w:rFonts w:ascii="Calibri" w:eastAsia="Times New Roman" w:hAnsi="Calibri" w:cs="Calibri"/>
                <w:i/>
                <w:iCs/>
                <w:color w:val="000000"/>
                <w:sz w:val="18"/>
                <w:szCs w:val="18"/>
              </w:rPr>
              <w:t>.</w:t>
            </w:r>
          </w:p>
        </w:tc>
        <w:tc>
          <w:tcPr>
            <w:tcW w:w="1124" w:type="dxa"/>
            <w:tcBorders>
              <w:top w:val="nil"/>
              <w:left w:val="nil"/>
              <w:bottom w:val="single" w:sz="4" w:space="0" w:color="auto"/>
              <w:right w:val="single" w:sz="4" w:space="0" w:color="auto"/>
            </w:tcBorders>
            <w:shd w:val="clear" w:color="auto" w:fill="auto"/>
            <w:noWrap/>
            <w:vAlign w:val="bottom"/>
            <w:hideMark/>
          </w:tcPr>
          <w:p w14:paraId="19F879C3"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52</w:t>
            </w:r>
          </w:p>
        </w:tc>
      </w:tr>
      <w:tr w:rsidR="005E24E8" w:rsidRPr="00F73101" w14:paraId="2E2854AE" w14:textId="77777777" w:rsidTr="0048132A">
        <w:trPr>
          <w:trHeight w:val="256"/>
        </w:trPr>
        <w:tc>
          <w:tcPr>
            <w:tcW w:w="8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93F46D" w14:textId="405FBC42" w:rsidR="00F73101" w:rsidRPr="0048132A" w:rsidRDefault="00F73101" w:rsidP="00F73101">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MPA</w:t>
            </w:r>
            <w:r w:rsidR="005E24E8" w:rsidRPr="0048132A">
              <w:rPr>
                <w:rFonts w:ascii="Calibri" w:eastAsia="Times New Roman" w:hAnsi="Calibri" w:cs="Calibri"/>
                <w:color w:val="000000"/>
                <w:sz w:val="18"/>
                <w:szCs w:val="18"/>
              </w:rPr>
              <w:t>s</w:t>
            </w:r>
          </w:p>
        </w:tc>
        <w:tc>
          <w:tcPr>
            <w:tcW w:w="2497" w:type="dxa"/>
            <w:tcBorders>
              <w:top w:val="nil"/>
              <w:left w:val="nil"/>
              <w:bottom w:val="single" w:sz="4" w:space="0" w:color="auto"/>
              <w:right w:val="single" w:sz="4" w:space="0" w:color="auto"/>
            </w:tcBorders>
            <w:shd w:val="clear" w:color="D9D9D9" w:fill="D9D9D9"/>
            <w:noWrap/>
            <w:vAlign w:val="bottom"/>
            <w:hideMark/>
          </w:tcPr>
          <w:p w14:paraId="1D14D071"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mpa_benefit_fish</w:t>
            </w:r>
            <w:proofErr w:type="spellEnd"/>
          </w:p>
        </w:tc>
        <w:tc>
          <w:tcPr>
            <w:tcW w:w="4971" w:type="dxa"/>
            <w:tcBorders>
              <w:top w:val="nil"/>
              <w:left w:val="nil"/>
              <w:bottom w:val="single" w:sz="4" w:space="0" w:color="auto"/>
              <w:right w:val="single" w:sz="4" w:space="0" w:color="auto"/>
            </w:tcBorders>
            <w:shd w:val="clear" w:color="D9D9D9" w:fill="D9D9D9"/>
            <w:noWrap/>
            <w:vAlign w:val="bottom"/>
            <w:hideMark/>
          </w:tcPr>
          <w:p w14:paraId="428D4688"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MPAs (can) produce benefits for fish.</w:t>
            </w:r>
          </w:p>
        </w:tc>
        <w:tc>
          <w:tcPr>
            <w:tcW w:w="1124" w:type="dxa"/>
            <w:tcBorders>
              <w:top w:val="nil"/>
              <w:left w:val="nil"/>
              <w:bottom w:val="single" w:sz="4" w:space="0" w:color="auto"/>
              <w:right w:val="single" w:sz="4" w:space="0" w:color="auto"/>
            </w:tcBorders>
            <w:shd w:val="clear" w:color="D9D9D9" w:fill="D9D9D9"/>
            <w:noWrap/>
            <w:vAlign w:val="bottom"/>
            <w:hideMark/>
          </w:tcPr>
          <w:p w14:paraId="40D7B42F"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44</w:t>
            </w:r>
          </w:p>
        </w:tc>
      </w:tr>
      <w:tr w:rsidR="00F73101" w:rsidRPr="00F73101" w14:paraId="0DF935D3"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5C455660"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6B0F7F6F"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mpa_benefit_locals</w:t>
            </w:r>
            <w:proofErr w:type="spellEnd"/>
          </w:p>
        </w:tc>
        <w:tc>
          <w:tcPr>
            <w:tcW w:w="4971" w:type="dxa"/>
            <w:tcBorders>
              <w:top w:val="nil"/>
              <w:left w:val="nil"/>
              <w:bottom w:val="single" w:sz="4" w:space="0" w:color="auto"/>
              <w:right w:val="single" w:sz="4" w:space="0" w:color="auto"/>
            </w:tcBorders>
            <w:shd w:val="clear" w:color="auto" w:fill="auto"/>
            <w:noWrap/>
            <w:vAlign w:val="bottom"/>
            <w:hideMark/>
          </w:tcPr>
          <w:p w14:paraId="4C98A801"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MPAs (can) produce benefits for local people.</w:t>
            </w:r>
          </w:p>
        </w:tc>
        <w:tc>
          <w:tcPr>
            <w:tcW w:w="1124" w:type="dxa"/>
            <w:tcBorders>
              <w:top w:val="nil"/>
              <w:left w:val="nil"/>
              <w:bottom w:val="single" w:sz="4" w:space="0" w:color="auto"/>
              <w:right w:val="single" w:sz="4" w:space="0" w:color="auto"/>
            </w:tcBorders>
            <w:shd w:val="clear" w:color="auto" w:fill="auto"/>
            <w:noWrap/>
            <w:vAlign w:val="bottom"/>
            <w:hideMark/>
          </w:tcPr>
          <w:p w14:paraId="177210BF"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45</w:t>
            </w:r>
          </w:p>
        </w:tc>
      </w:tr>
      <w:tr w:rsidR="005E24E8" w:rsidRPr="00F73101" w14:paraId="1EE1A6EF"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2C92893D"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D9D9D9" w:fill="D9D9D9"/>
            <w:noWrap/>
            <w:vAlign w:val="bottom"/>
            <w:hideMark/>
          </w:tcPr>
          <w:p w14:paraId="0CA7BBBC"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mpa_goal_fishery</w:t>
            </w:r>
            <w:proofErr w:type="spellEnd"/>
          </w:p>
        </w:tc>
        <w:tc>
          <w:tcPr>
            <w:tcW w:w="4971" w:type="dxa"/>
            <w:tcBorders>
              <w:top w:val="nil"/>
              <w:left w:val="nil"/>
              <w:bottom w:val="single" w:sz="4" w:space="0" w:color="auto"/>
              <w:right w:val="single" w:sz="4" w:space="0" w:color="auto"/>
            </w:tcBorders>
            <w:shd w:val="clear" w:color="D9D9D9" w:fill="D9D9D9"/>
            <w:noWrap/>
            <w:vAlign w:val="bottom"/>
            <w:hideMark/>
          </w:tcPr>
          <w:p w14:paraId="19D9D538"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The goal of MPAs is to improve fisheries.</w:t>
            </w:r>
          </w:p>
        </w:tc>
        <w:tc>
          <w:tcPr>
            <w:tcW w:w="1124" w:type="dxa"/>
            <w:tcBorders>
              <w:top w:val="nil"/>
              <w:left w:val="nil"/>
              <w:bottom w:val="single" w:sz="4" w:space="0" w:color="auto"/>
              <w:right w:val="single" w:sz="4" w:space="0" w:color="auto"/>
            </w:tcBorders>
            <w:shd w:val="clear" w:color="D9D9D9" w:fill="D9D9D9"/>
            <w:noWrap/>
            <w:vAlign w:val="bottom"/>
            <w:hideMark/>
          </w:tcPr>
          <w:p w14:paraId="54D5887B"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25</w:t>
            </w:r>
          </w:p>
        </w:tc>
      </w:tr>
      <w:tr w:rsidR="00F73101" w:rsidRPr="00F73101" w14:paraId="7FE15508"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51CDE6E8"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63202214"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mpa_need_patrol</w:t>
            </w:r>
            <w:proofErr w:type="spellEnd"/>
          </w:p>
        </w:tc>
        <w:tc>
          <w:tcPr>
            <w:tcW w:w="4971" w:type="dxa"/>
            <w:tcBorders>
              <w:top w:val="nil"/>
              <w:left w:val="nil"/>
              <w:bottom w:val="single" w:sz="4" w:space="0" w:color="auto"/>
              <w:right w:val="single" w:sz="4" w:space="0" w:color="auto"/>
            </w:tcBorders>
            <w:shd w:val="clear" w:color="auto" w:fill="auto"/>
            <w:noWrap/>
            <w:vAlign w:val="bottom"/>
            <w:hideMark/>
          </w:tcPr>
          <w:p w14:paraId="62C84443"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MPAs need patrolling to be efficient.</w:t>
            </w:r>
          </w:p>
        </w:tc>
        <w:tc>
          <w:tcPr>
            <w:tcW w:w="1124" w:type="dxa"/>
            <w:tcBorders>
              <w:top w:val="nil"/>
              <w:left w:val="nil"/>
              <w:bottom w:val="single" w:sz="4" w:space="0" w:color="auto"/>
              <w:right w:val="single" w:sz="4" w:space="0" w:color="auto"/>
            </w:tcBorders>
            <w:shd w:val="clear" w:color="auto" w:fill="auto"/>
            <w:noWrap/>
            <w:vAlign w:val="bottom"/>
            <w:hideMark/>
          </w:tcPr>
          <w:p w14:paraId="37EFA6DE"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25</w:t>
            </w:r>
          </w:p>
        </w:tc>
      </w:tr>
      <w:tr w:rsidR="005E24E8" w:rsidRPr="00F73101" w14:paraId="48662B83" w14:textId="77777777" w:rsidTr="0048132A">
        <w:trPr>
          <w:trHeight w:val="256"/>
        </w:trPr>
        <w:tc>
          <w:tcPr>
            <w:tcW w:w="89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881191" w14:textId="77777777" w:rsidR="00F73101" w:rsidRPr="0048132A" w:rsidRDefault="00F73101" w:rsidP="00F73101">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NGO</w:t>
            </w:r>
          </w:p>
        </w:tc>
        <w:tc>
          <w:tcPr>
            <w:tcW w:w="2497" w:type="dxa"/>
            <w:tcBorders>
              <w:top w:val="nil"/>
              <w:left w:val="nil"/>
              <w:bottom w:val="single" w:sz="4" w:space="0" w:color="auto"/>
              <w:right w:val="single" w:sz="4" w:space="0" w:color="auto"/>
            </w:tcBorders>
            <w:shd w:val="clear" w:color="D9D9D9" w:fill="D9D9D9"/>
            <w:noWrap/>
            <w:vAlign w:val="bottom"/>
            <w:hideMark/>
          </w:tcPr>
          <w:p w14:paraId="39168C51"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ngo_advice_develop</w:t>
            </w:r>
            <w:proofErr w:type="spellEnd"/>
          </w:p>
        </w:tc>
        <w:tc>
          <w:tcPr>
            <w:tcW w:w="4971" w:type="dxa"/>
            <w:tcBorders>
              <w:top w:val="nil"/>
              <w:left w:val="nil"/>
              <w:bottom w:val="single" w:sz="4" w:space="0" w:color="auto"/>
              <w:right w:val="single" w:sz="4" w:space="0" w:color="auto"/>
            </w:tcBorders>
            <w:shd w:val="clear" w:color="D9D9D9" w:fill="D9D9D9"/>
            <w:noWrap/>
            <w:vAlign w:val="bottom"/>
            <w:hideMark/>
          </w:tcPr>
          <w:p w14:paraId="3111D273" w14:textId="1E7EAAC5"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 xml:space="preserve">I would </w:t>
            </w:r>
            <w:r w:rsidR="005E24E8" w:rsidRPr="0048132A">
              <w:rPr>
                <w:rFonts w:ascii="Calibri" w:eastAsia="Times New Roman" w:hAnsi="Calibri" w:cs="Calibri"/>
                <w:i/>
                <w:iCs/>
                <w:color w:val="000000"/>
                <w:sz w:val="18"/>
                <w:szCs w:val="18"/>
              </w:rPr>
              <w:t>advise</w:t>
            </w:r>
            <w:r w:rsidRPr="0048132A">
              <w:rPr>
                <w:rFonts w:ascii="Calibri" w:eastAsia="Times New Roman" w:hAnsi="Calibri" w:cs="Calibri"/>
                <w:i/>
                <w:iCs/>
                <w:color w:val="000000"/>
                <w:sz w:val="18"/>
                <w:szCs w:val="18"/>
              </w:rPr>
              <w:t xml:space="preserve"> </w:t>
            </w:r>
            <w:proofErr w:type="spellStart"/>
            <w:r w:rsidRPr="0048132A">
              <w:rPr>
                <w:rFonts w:ascii="Calibri" w:eastAsia="Times New Roman" w:hAnsi="Calibri" w:cs="Calibri"/>
                <w:i/>
                <w:iCs/>
                <w:color w:val="000000"/>
                <w:sz w:val="18"/>
                <w:szCs w:val="18"/>
              </w:rPr>
              <w:t>Sulubaai</w:t>
            </w:r>
            <w:proofErr w:type="spellEnd"/>
            <w:r w:rsidRPr="0048132A">
              <w:rPr>
                <w:rFonts w:ascii="Calibri" w:eastAsia="Times New Roman" w:hAnsi="Calibri" w:cs="Calibri"/>
                <w:i/>
                <w:iCs/>
                <w:color w:val="000000"/>
                <w:sz w:val="18"/>
                <w:szCs w:val="18"/>
              </w:rPr>
              <w:t xml:space="preserve"> to develop more.</w:t>
            </w:r>
          </w:p>
        </w:tc>
        <w:tc>
          <w:tcPr>
            <w:tcW w:w="1124" w:type="dxa"/>
            <w:tcBorders>
              <w:top w:val="nil"/>
              <w:left w:val="nil"/>
              <w:bottom w:val="single" w:sz="4" w:space="0" w:color="auto"/>
              <w:right w:val="single" w:sz="4" w:space="0" w:color="auto"/>
            </w:tcBorders>
            <w:shd w:val="clear" w:color="D9D9D9" w:fill="D9D9D9"/>
            <w:noWrap/>
            <w:vAlign w:val="bottom"/>
            <w:hideMark/>
          </w:tcPr>
          <w:p w14:paraId="13C35A26"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7</w:t>
            </w:r>
          </w:p>
        </w:tc>
      </w:tr>
      <w:tr w:rsidR="00F73101" w:rsidRPr="00F73101" w14:paraId="53C2F366"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12A013EA"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2228AAE3"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ngo_good_opinion</w:t>
            </w:r>
            <w:proofErr w:type="spellEnd"/>
          </w:p>
        </w:tc>
        <w:tc>
          <w:tcPr>
            <w:tcW w:w="4971" w:type="dxa"/>
            <w:tcBorders>
              <w:top w:val="nil"/>
              <w:left w:val="nil"/>
              <w:bottom w:val="single" w:sz="4" w:space="0" w:color="auto"/>
              <w:right w:val="single" w:sz="4" w:space="0" w:color="auto"/>
            </w:tcBorders>
            <w:shd w:val="clear" w:color="auto" w:fill="auto"/>
            <w:noWrap/>
            <w:vAlign w:val="bottom"/>
            <w:hideMark/>
          </w:tcPr>
          <w:p w14:paraId="0D3086C2"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 xml:space="preserve">I have a good opinion on </w:t>
            </w:r>
            <w:proofErr w:type="spellStart"/>
            <w:r w:rsidRPr="0048132A">
              <w:rPr>
                <w:rFonts w:ascii="Calibri" w:eastAsia="Times New Roman" w:hAnsi="Calibri" w:cs="Calibri"/>
                <w:i/>
                <w:iCs/>
                <w:color w:val="000000"/>
                <w:sz w:val="18"/>
                <w:szCs w:val="18"/>
              </w:rPr>
              <w:t>Sulubaai</w:t>
            </w:r>
            <w:proofErr w:type="spellEnd"/>
            <w:r w:rsidRPr="0048132A">
              <w:rPr>
                <w:rFonts w:ascii="Calibri" w:eastAsia="Times New Roman" w:hAnsi="Calibri" w:cs="Calibri"/>
                <w:i/>
                <w:iCs/>
                <w:color w:val="000000"/>
                <w:sz w:val="18"/>
                <w:szCs w:val="18"/>
              </w:rPr>
              <w:t xml:space="preserve"> and their actions.</w:t>
            </w:r>
          </w:p>
        </w:tc>
        <w:tc>
          <w:tcPr>
            <w:tcW w:w="1124" w:type="dxa"/>
            <w:tcBorders>
              <w:top w:val="nil"/>
              <w:left w:val="nil"/>
              <w:bottom w:val="single" w:sz="4" w:space="0" w:color="auto"/>
              <w:right w:val="single" w:sz="4" w:space="0" w:color="auto"/>
            </w:tcBorders>
            <w:shd w:val="clear" w:color="auto" w:fill="auto"/>
            <w:noWrap/>
            <w:vAlign w:val="bottom"/>
            <w:hideMark/>
          </w:tcPr>
          <w:p w14:paraId="19AE6E1C"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19</w:t>
            </w:r>
          </w:p>
        </w:tc>
      </w:tr>
      <w:tr w:rsidR="005E24E8" w:rsidRPr="00F73101" w14:paraId="7610E2CE" w14:textId="77777777" w:rsidTr="0048132A">
        <w:trPr>
          <w:trHeight w:val="256"/>
        </w:trPr>
        <w:tc>
          <w:tcPr>
            <w:tcW w:w="891" w:type="dxa"/>
            <w:vMerge w:val="restart"/>
            <w:tcBorders>
              <w:top w:val="nil"/>
              <w:left w:val="single" w:sz="4" w:space="0" w:color="auto"/>
              <w:bottom w:val="single" w:sz="4" w:space="0" w:color="auto"/>
              <w:right w:val="single" w:sz="4" w:space="0" w:color="auto"/>
            </w:tcBorders>
            <w:shd w:val="clear" w:color="D9D9D9" w:fill="D9D9D9"/>
            <w:noWrap/>
            <w:vAlign w:val="center"/>
            <w:hideMark/>
          </w:tcPr>
          <w:p w14:paraId="790077FA" w14:textId="77777777" w:rsidR="00F73101" w:rsidRPr="0048132A" w:rsidRDefault="00F73101" w:rsidP="00F73101">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Future</w:t>
            </w:r>
          </w:p>
        </w:tc>
        <w:tc>
          <w:tcPr>
            <w:tcW w:w="2497" w:type="dxa"/>
            <w:tcBorders>
              <w:top w:val="nil"/>
              <w:left w:val="nil"/>
              <w:bottom w:val="single" w:sz="4" w:space="0" w:color="auto"/>
              <w:right w:val="single" w:sz="4" w:space="0" w:color="auto"/>
            </w:tcBorders>
            <w:shd w:val="clear" w:color="D9D9D9" w:fill="D9D9D9"/>
            <w:noWrap/>
            <w:vAlign w:val="bottom"/>
            <w:hideMark/>
          </w:tcPr>
          <w:p w14:paraId="2207AF8D"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future_alternative_livelihood</w:t>
            </w:r>
            <w:proofErr w:type="spellEnd"/>
          </w:p>
        </w:tc>
        <w:tc>
          <w:tcPr>
            <w:tcW w:w="4971" w:type="dxa"/>
            <w:tcBorders>
              <w:top w:val="nil"/>
              <w:left w:val="nil"/>
              <w:bottom w:val="single" w:sz="4" w:space="0" w:color="auto"/>
              <w:right w:val="single" w:sz="4" w:space="0" w:color="auto"/>
            </w:tcBorders>
            <w:shd w:val="clear" w:color="D9D9D9" w:fill="D9D9D9"/>
            <w:noWrap/>
            <w:vAlign w:val="bottom"/>
            <w:hideMark/>
          </w:tcPr>
          <w:p w14:paraId="1BE68646"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In the future, there will be other livelihood options.</w:t>
            </w:r>
          </w:p>
        </w:tc>
        <w:tc>
          <w:tcPr>
            <w:tcW w:w="1124" w:type="dxa"/>
            <w:tcBorders>
              <w:top w:val="nil"/>
              <w:left w:val="nil"/>
              <w:bottom w:val="single" w:sz="4" w:space="0" w:color="auto"/>
              <w:right w:val="single" w:sz="4" w:space="0" w:color="auto"/>
            </w:tcBorders>
            <w:shd w:val="clear" w:color="D9D9D9" w:fill="D9D9D9"/>
            <w:noWrap/>
            <w:vAlign w:val="bottom"/>
            <w:hideMark/>
          </w:tcPr>
          <w:p w14:paraId="75B9DAEE"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11</w:t>
            </w:r>
          </w:p>
        </w:tc>
      </w:tr>
      <w:tr w:rsidR="00F73101" w:rsidRPr="00F73101" w14:paraId="6EF7787F"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00D9ECE7"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43621B55"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future_development</w:t>
            </w:r>
            <w:proofErr w:type="spellEnd"/>
          </w:p>
        </w:tc>
        <w:tc>
          <w:tcPr>
            <w:tcW w:w="4971" w:type="dxa"/>
            <w:tcBorders>
              <w:top w:val="nil"/>
              <w:left w:val="nil"/>
              <w:bottom w:val="single" w:sz="4" w:space="0" w:color="auto"/>
              <w:right w:val="single" w:sz="4" w:space="0" w:color="auto"/>
            </w:tcBorders>
            <w:shd w:val="clear" w:color="auto" w:fill="auto"/>
            <w:noWrap/>
            <w:vAlign w:val="bottom"/>
            <w:hideMark/>
          </w:tcPr>
          <w:p w14:paraId="25BF5550"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In the future, our community/area will develop.</w:t>
            </w:r>
          </w:p>
        </w:tc>
        <w:tc>
          <w:tcPr>
            <w:tcW w:w="1124" w:type="dxa"/>
            <w:tcBorders>
              <w:top w:val="nil"/>
              <w:left w:val="nil"/>
              <w:bottom w:val="single" w:sz="4" w:space="0" w:color="auto"/>
              <w:right w:val="single" w:sz="4" w:space="0" w:color="auto"/>
            </w:tcBorders>
            <w:shd w:val="clear" w:color="auto" w:fill="auto"/>
            <w:noWrap/>
            <w:vAlign w:val="bottom"/>
            <w:hideMark/>
          </w:tcPr>
          <w:p w14:paraId="38389D4E"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14</w:t>
            </w:r>
          </w:p>
        </w:tc>
      </w:tr>
      <w:tr w:rsidR="005E24E8" w:rsidRPr="00F73101" w14:paraId="369DD761"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26D6A510"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D9D9D9" w:fill="D9D9D9"/>
            <w:noWrap/>
            <w:vAlign w:val="bottom"/>
            <w:hideMark/>
          </w:tcPr>
          <w:p w14:paraId="13871348"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future_no_fish</w:t>
            </w:r>
            <w:proofErr w:type="spellEnd"/>
          </w:p>
        </w:tc>
        <w:tc>
          <w:tcPr>
            <w:tcW w:w="4971" w:type="dxa"/>
            <w:tcBorders>
              <w:top w:val="nil"/>
              <w:left w:val="nil"/>
              <w:bottom w:val="single" w:sz="4" w:space="0" w:color="auto"/>
              <w:right w:val="single" w:sz="4" w:space="0" w:color="auto"/>
            </w:tcBorders>
            <w:shd w:val="clear" w:color="D9D9D9" w:fill="D9D9D9"/>
            <w:noWrap/>
            <w:vAlign w:val="bottom"/>
            <w:hideMark/>
          </w:tcPr>
          <w:p w14:paraId="3FFB7B09"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In the future, I am afraid that there are no more fish.</w:t>
            </w:r>
          </w:p>
        </w:tc>
        <w:tc>
          <w:tcPr>
            <w:tcW w:w="1124" w:type="dxa"/>
            <w:tcBorders>
              <w:top w:val="nil"/>
              <w:left w:val="nil"/>
              <w:bottom w:val="single" w:sz="4" w:space="0" w:color="auto"/>
              <w:right w:val="single" w:sz="4" w:space="0" w:color="auto"/>
            </w:tcBorders>
            <w:shd w:val="clear" w:color="D9D9D9" w:fill="D9D9D9"/>
            <w:noWrap/>
            <w:vAlign w:val="bottom"/>
            <w:hideMark/>
          </w:tcPr>
          <w:p w14:paraId="2DABE5DB"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17</w:t>
            </w:r>
          </w:p>
        </w:tc>
      </w:tr>
      <w:tr w:rsidR="00F73101" w:rsidRPr="00F73101" w14:paraId="1BEC64B5" w14:textId="77777777" w:rsidTr="0048132A">
        <w:trPr>
          <w:trHeight w:val="256"/>
        </w:trPr>
        <w:tc>
          <w:tcPr>
            <w:tcW w:w="891" w:type="dxa"/>
            <w:vMerge/>
            <w:tcBorders>
              <w:top w:val="nil"/>
              <w:left w:val="single" w:sz="4" w:space="0" w:color="auto"/>
              <w:bottom w:val="single" w:sz="4" w:space="0" w:color="auto"/>
              <w:right w:val="single" w:sz="4" w:space="0" w:color="auto"/>
            </w:tcBorders>
            <w:vAlign w:val="center"/>
            <w:hideMark/>
          </w:tcPr>
          <w:p w14:paraId="605C6F64" w14:textId="77777777" w:rsidR="00F73101" w:rsidRPr="0048132A" w:rsidRDefault="00F73101" w:rsidP="00F73101">
            <w:pPr>
              <w:spacing w:after="0" w:line="240" w:lineRule="auto"/>
              <w:rPr>
                <w:rFonts w:ascii="Calibri" w:eastAsia="Times New Roman" w:hAnsi="Calibri" w:cs="Calibri"/>
                <w:color w:val="000000"/>
                <w:sz w:val="18"/>
                <w:szCs w:val="18"/>
              </w:rPr>
            </w:pPr>
          </w:p>
        </w:tc>
        <w:tc>
          <w:tcPr>
            <w:tcW w:w="2497" w:type="dxa"/>
            <w:tcBorders>
              <w:top w:val="nil"/>
              <w:left w:val="nil"/>
              <w:bottom w:val="single" w:sz="4" w:space="0" w:color="auto"/>
              <w:right w:val="single" w:sz="4" w:space="0" w:color="auto"/>
            </w:tcBorders>
            <w:shd w:val="clear" w:color="auto" w:fill="auto"/>
            <w:noWrap/>
            <w:vAlign w:val="bottom"/>
            <w:hideMark/>
          </w:tcPr>
          <w:p w14:paraId="552A3049" w14:textId="77777777" w:rsidR="00F73101" w:rsidRPr="0048132A" w:rsidRDefault="00F73101" w:rsidP="00F73101">
            <w:pPr>
              <w:spacing w:after="0" w:line="240" w:lineRule="auto"/>
              <w:rPr>
                <w:rFonts w:ascii="Calibri" w:eastAsia="Times New Roman" w:hAnsi="Calibri" w:cs="Calibri"/>
                <w:color w:val="000000"/>
                <w:sz w:val="18"/>
                <w:szCs w:val="18"/>
              </w:rPr>
            </w:pPr>
            <w:proofErr w:type="spellStart"/>
            <w:r w:rsidRPr="0048132A">
              <w:rPr>
                <w:rFonts w:ascii="Calibri" w:eastAsia="Times New Roman" w:hAnsi="Calibri" w:cs="Calibri"/>
                <w:color w:val="000000"/>
                <w:sz w:val="18"/>
                <w:szCs w:val="18"/>
              </w:rPr>
              <w:t>future_sustainability</w:t>
            </w:r>
            <w:proofErr w:type="spellEnd"/>
          </w:p>
        </w:tc>
        <w:tc>
          <w:tcPr>
            <w:tcW w:w="4971" w:type="dxa"/>
            <w:tcBorders>
              <w:top w:val="nil"/>
              <w:left w:val="nil"/>
              <w:bottom w:val="single" w:sz="4" w:space="0" w:color="auto"/>
              <w:right w:val="single" w:sz="4" w:space="0" w:color="auto"/>
            </w:tcBorders>
            <w:shd w:val="clear" w:color="auto" w:fill="auto"/>
            <w:noWrap/>
            <w:vAlign w:val="bottom"/>
            <w:hideMark/>
          </w:tcPr>
          <w:p w14:paraId="4E8B3C02" w14:textId="77777777" w:rsidR="00F73101" w:rsidRPr="0048132A" w:rsidRDefault="00F73101" w:rsidP="00F73101">
            <w:pPr>
              <w:spacing w:after="0" w:line="240" w:lineRule="auto"/>
              <w:rPr>
                <w:rFonts w:ascii="Calibri" w:eastAsia="Times New Roman" w:hAnsi="Calibri" w:cs="Calibri"/>
                <w:i/>
                <w:iCs/>
                <w:color w:val="000000"/>
                <w:sz w:val="18"/>
                <w:szCs w:val="18"/>
              </w:rPr>
            </w:pPr>
            <w:r w:rsidRPr="0048132A">
              <w:rPr>
                <w:rFonts w:ascii="Calibri" w:eastAsia="Times New Roman" w:hAnsi="Calibri" w:cs="Calibri"/>
                <w:i/>
                <w:iCs/>
                <w:color w:val="000000"/>
                <w:sz w:val="18"/>
                <w:szCs w:val="18"/>
              </w:rPr>
              <w:t>In the future, there will be more sustainability.</w:t>
            </w:r>
          </w:p>
        </w:tc>
        <w:tc>
          <w:tcPr>
            <w:tcW w:w="1124" w:type="dxa"/>
            <w:tcBorders>
              <w:top w:val="nil"/>
              <w:left w:val="nil"/>
              <w:bottom w:val="single" w:sz="4" w:space="0" w:color="auto"/>
              <w:right w:val="single" w:sz="4" w:space="0" w:color="auto"/>
            </w:tcBorders>
            <w:shd w:val="clear" w:color="auto" w:fill="auto"/>
            <w:noWrap/>
            <w:vAlign w:val="bottom"/>
            <w:hideMark/>
          </w:tcPr>
          <w:p w14:paraId="4E89EA3F" w14:textId="77777777" w:rsidR="00F73101" w:rsidRPr="0048132A" w:rsidRDefault="00F73101" w:rsidP="005E24E8">
            <w:pPr>
              <w:spacing w:after="0" w:line="240" w:lineRule="auto"/>
              <w:jc w:val="center"/>
              <w:rPr>
                <w:rFonts w:ascii="Calibri" w:eastAsia="Times New Roman" w:hAnsi="Calibri" w:cs="Calibri"/>
                <w:color w:val="000000"/>
                <w:sz w:val="18"/>
                <w:szCs w:val="18"/>
              </w:rPr>
            </w:pPr>
            <w:r w:rsidRPr="0048132A">
              <w:rPr>
                <w:rFonts w:ascii="Calibri" w:eastAsia="Times New Roman" w:hAnsi="Calibri" w:cs="Calibri"/>
                <w:color w:val="000000"/>
                <w:sz w:val="18"/>
                <w:szCs w:val="18"/>
              </w:rPr>
              <w:t>27</w:t>
            </w:r>
          </w:p>
        </w:tc>
      </w:tr>
    </w:tbl>
    <w:p w14:paraId="230487F4" w14:textId="58E1FEC5" w:rsidR="00F73101" w:rsidRPr="005E24E8" w:rsidRDefault="005E24E8" w:rsidP="00A076EC">
      <w:pPr>
        <w:rPr>
          <w:i/>
          <w:iCs/>
        </w:rPr>
      </w:pPr>
      <w:r w:rsidRPr="005E24E8">
        <w:rPr>
          <w:i/>
          <w:iCs/>
        </w:rPr>
        <w:t>Table 1. Examples of the most common perceptions and codes used for each category of question, and number of respondents that gave this answer (out of n=66 respondents).</w:t>
      </w:r>
    </w:p>
    <w:p w14:paraId="5B56D12C" w14:textId="77777777" w:rsidR="005E24E8" w:rsidRDefault="005E24E8" w:rsidP="00A076EC"/>
    <w:p w14:paraId="534FAD0D" w14:textId="0CB85DBD" w:rsidR="004A7EEB" w:rsidRPr="00D97972" w:rsidRDefault="004A7EEB" w:rsidP="004A7EEB">
      <w:pPr>
        <w:rPr>
          <w:color w:val="A5A5A5" w:themeColor="accent3"/>
        </w:rPr>
      </w:pPr>
      <w:r w:rsidRPr="00D97972">
        <w:rPr>
          <w:color w:val="A5A5A5" w:themeColor="accent3"/>
        </w:rPr>
        <w:t>/</w:t>
      </w:r>
      <w:r>
        <w:rPr>
          <w:color w:val="A5A5A5" w:themeColor="accent3"/>
        </w:rPr>
        <w:t>3.2 Network of perception: analysis of groups</w:t>
      </w:r>
      <w:r w:rsidRPr="00D97972">
        <w:rPr>
          <w:color w:val="A5A5A5" w:themeColor="accent3"/>
        </w:rPr>
        <w:t>/</w:t>
      </w:r>
    </w:p>
    <w:p w14:paraId="46A573C6" w14:textId="3DE85BA0" w:rsidR="0075699F" w:rsidRDefault="0075699F" w:rsidP="003C1ECF">
      <w:pPr>
        <w:pStyle w:val="Paragraphedeliste"/>
        <w:numPr>
          <w:ilvl w:val="0"/>
          <w:numId w:val="3"/>
        </w:numPr>
      </w:pPr>
      <w:r>
        <w:t>A bipartite network is constructed to link respondents and their perceptions.</w:t>
      </w:r>
    </w:p>
    <w:p w14:paraId="7D4F622D" w14:textId="5419FD43" w:rsidR="004A7EEB" w:rsidRDefault="003C1ECF" w:rsidP="003C1ECF">
      <w:pPr>
        <w:pStyle w:val="Paragraphedeliste"/>
        <w:numPr>
          <w:ilvl w:val="0"/>
          <w:numId w:val="3"/>
        </w:numPr>
      </w:pPr>
      <w:r>
        <w:t>The two groups studied</w:t>
      </w:r>
      <w:r w:rsidR="0075699F">
        <w:t xml:space="preserve"> already</w:t>
      </w:r>
      <w:r>
        <w:t xml:space="preserve"> appear separated on the network (fig. 2). “Test villages” are closer to decision-makers and scientists showing a possible appropriation by these residents of the scientific discourse on environmental issues and solutions.</w:t>
      </w:r>
    </w:p>
    <w:p w14:paraId="37F4FA92" w14:textId="77777777" w:rsidR="0075699F" w:rsidRDefault="00391ACE" w:rsidP="00A076EC">
      <w:pPr>
        <w:pStyle w:val="Paragraphedeliste"/>
        <w:numPr>
          <w:ilvl w:val="0"/>
          <w:numId w:val="3"/>
        </w:numPr>
      </w:pPr>
      <w:r>
        <w:lastRenderedPageBreak/>
        <w:t>The most common answers</w:t>
      </w:r>
      <w:r w:rsidR="0075699F">
        <w:t xml:space="preserve"> (with the highest degree)</w:t>
      </w:r>
      <w:r>
        <w:t xml:space="preserve"> appear </w:t>
      </w:r>
      <w:r w:rsidR="0075699F">
        <w:t>at</w:t>
      </w:r>
      <w:r>
        <w:t xml:space="preserve"> the center of the network. If an answer is closer to a group of respondents, it means it was generally more associated with this group.</w:t>
      </w:r>
    </w:p>
    <w:p w14:paraId="2AE9CF35" w14:textId="3DA6D51A" w:rsidR="003C1ECF" w:rsidRDefault="00391ACE" w:rsidP="00A076EC">
      <w:pPr>
        <w:pStyle w:val="Paragraphedeliste"/>
        <w:numPr>
          <w:ilvl w:val="0"/>
          <w:numId w:val="3"/>
        </w:numPr>
      </w:pPr>
      <w:r>
        <w:t xml:space="preserve"> We can see some answers</w:t>
      </w:r>
      <w:r w:rsidR="0075699F">
        <w:t>, though,</w:t>
      </w:r>
      <w:r>
        <w:t xml:space="preserve"> have a relatively high degree, meaning they are common, yet they are f</w:t>
      </w:r>
      <w:r w:rsidR="0075699F">
        <w:t>ar</w:t>
      </w:r>
      <w:r>
        <w:t xml:space="preserve"> from the center, meaning they were cleaving</w:t>
      </w:r>
      <w:r w:rsidR="0075699F">
        <w:t>.</w:t>
      </w:r>
    </w:p>
    <w:p w14:paraId="444A21C8" w14:textId="11919B41" w:rsidR="0075699F" w:rsidRDefault="0075699F" w:rsidP="00A076EC">
      <w:pPr>
        <w:pStyle w:val="Paragraphedeliste"/>
        <w:numPr>
          <w:ilvl w:val="0"/>
          <w:numId w:val="3"/>
        </w:numPr>
      </w:pPr>
      <w:r>
        <w:t xml:space="preserve">Next step is to study </w:t>
      </w:r>
      <w:r w:rsidR="006603A6">
        <w:t>the potential clusters of respondents and perceptions using bipartite projections (fig. 4). Community detection algorithms detect two communities of respondents that generally correspond to the two groups we study. Three communities of answers are detected, though one community is very marginal; and these answers also correspond to the most common answers given by each group we study.</w:t>
      </w:r>
    </w:p>
    <w:p w14:paraId="19FDCDA7" w14:textId="63AB6BC0" w:rsidR="006603A6" w:rsidRDefault="006603A6" w:rsidP="00A076EC">
      <w:pPr>
        <w:pStyle w:val="Paragraphedeliste"/>
        <w:numPr>
          <w:ilvl w:val="0"/>
          <w:numId w:val="3"/>
        </w:numPr>
      </w:pPr>
      <w:r>
        <w:t xml:space="preserve">After explaining how the structure of networks shows the existence of clusters of respondents and perceptions, we will then analyze the differences in the repartition of individual perceptions among the two groups.  </w:t>
      </w:r>
    </w:p>
    <w:p w14:paraId="565C4B47" w14:textId="0BFD7BB7" w:rsidR="00391ACE" w:rsidRDefault="002E70C0" w:rsidP="00871276">
      <w:pPr>
        <w:jc w:val="center"/>
      </w:pPr>
      <w:r>
        <w:rPr>
          <w:noProof/>
        </w:rPr>
        <w:drawing>
          <wp:inline distT="0" distB="0" distL="0" distR="0" wp14:anchorId="22F1310A" wp14:editId="250826A8">
            <wp:extent cx="5757545" cy="38404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7545" cy="3840480"/>
                    </a:xfrm>
                    <a:prstGeom prst="rect">
                      <a:avLst/>
                    </a:prstGeom>
                    <a:noFill/>
                    <a:ln>
                      <a:noFill/>
                    </a:ln>
                  </pic:spPr>
                </pic:pic>
              </a:graphicData>
            </a:graphic>
          </wp:inline>
        </w:drawing>
      </w:r>
    </w:p>
    <w:p w14:paraId="167FDFD1" w14:textId="575D566D" w:rsidR="002E70C0" w:rsidRDefault="002E70C0" w:rsidP="00391ACE">
      <w:pPr>
        <w:rPr>
          <w:i/>
          <w:iCs/>
        </w:rPr>
      </w:pPr>
      <w:r w:rsidRPr="008C32E8">
        <w:rPr>
          <w:i/>
          <w:iCs/>
        </w:rPr>
        <w:t xml:space="preserve">Fig 2. Network of perception linking </w:t>
      </w:r>
      <w:r w:rsidR="008C32E8" w:rsidRPr="008C32E8">
        <w:rPr>
          <w:i/>
          <w:iCs/>
        </w:rPr>
        <w:t xml:space="preserve">respondents and their perceptions. Respondents are grouped in three categories: </w:t>
      </w:r>
      <w:proofErr w:type="spellStart"/>
      <w:r w:rsidR="008C32E8" w:rsidRPr="008C32E8">
        <w:rPr>
          <w:i/>
          <w:iCs/>
        </w:rPr>
        <w:t>i</w:t>
      </w:r>
      <w:proofErr w:type="spellEnd"/>
      <w:r w:rsidR="008C32E8" w:rsidRPr="008C32E8">
        <w:rPr>
          <w:i/>
          <w:iCs/>
        </w:rPr>
        <w:t xml:space="preserve">) Residents of </w:t>
      </w:r>
      <w:proofErr w:type="spellStart"/>
      <w:r w:rsidR="008C32E8" w:rsidRPr="008C32E8">
        <w:rPr>
          <w:i/>
          <w:iCs/>
        </w:rPr>
        <w:t>Depla</w:t>
      </w:r>
      <w:proofErr w:type="spellEnd"/>
      <w:r w:rsidR="008C32E8" w:rsidRPr="008C32E8">
        <w:rPr>
          <w:i/>
          <w:iCs/>
        </w:rPr>
        <w:t xml:space="preserve">, or Sandoval, villages where SEF has undertaken actions (brown); ii) Residents of Batas, Mabini or </w:t>
      </w:r>
      <w:proofErr w:type="spellStart"/>
      <w:r w:rsidR="008C32E8" w:rsidRPr="008C32E8">
        <w:rPr>
          <w:i/>
          <w:iCs/>
        </w:rPr>
        <w:t>Silanga</w:t>
      </w:r>
      <w:proofErr w:type="spellEnd"/>
      <w:r w:rsidR="008C32E8" w:rsidRPr="008C32E8">
        <w:rPr>
          <w:i/>
          <w:iCs/>
        </w:rPr>
        <w:t xml:space="preserve">, villages where SEF has not undertaken actions (green); iii) Decision-makers and scientists, living in Taytay or Puerto </w:t>
      </w:r>
      <w:proofErr w:type="spellStart"/>
      <w:r w:rsidR="008C32E8" w:rsidRPr="008C32E8">
        <w:rPr>
          <w:i/>
          <w:iCs/>
        </w:rPr>
        <w:t>Princesa</w:t>
      </w:r>
      <w:proofErr w:type="spellEnd"/>
      <w:r w:rsidR="008C32E8" w:rsidRPr="008C32E8">
        <w:rPr>
          <w:i/>
          <w:iCs/>
        </w:rPr>
        <w:t xml:space="preserve"> City (blue).</w:t>
      </w:r>
      <w:r w:rsidR="008B671A">
        <w:rPr>
          <w:i/>
          <w:iCs/>
        </w:rPr>
        <w:t xml:space="preserve"> </w:t>
      </w:r>
    </w:p>
    <w:p w14:paraId="32C981AB" w14:textId="77777777" w:rsidR="00871276" w:rsidRDefault="00871276" w:rsidP="00391ACE">
      <w:pPr>
        <w:rPr>
          <w:i/>
          <w:iCs/>
        </w:rPr>
      </w:pPr>
    </w:p>
    <w:p w14:paraId="343044A1" w14:textId="37A8DC02" w:rsidR="00871276" w:rsidRDefault="00871276" w:rsidP="00871276">
      <w:pPr>
        <w:jc w:val="center"/>
        <w:rPr>
          <w:i/>
          <w:iCs/>
        </w:rPr>
      </w:pPr>
      <w:r>
        <w:rPr>
          <w:i/>
          <w:iCs/>
          <w:noProof/>
        </w:rPr>
        <w:lastRenderedPageBreak/>
        <w:drawing>
          <wp:inline distT="0" distB="0" distL="0" distR="0" wp14:anchorId="640D18EF" wp14:editId="65826B5A">
            <wp:extent cx="4117975" cy="30854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7975" cy="3085465"/>
                    </a:xfrm>
                    <a:prstGeom prst="rect">
                      <a:avLst/>
                    </a:prstGeom>
                    <a:noFill/>
                    <a:ln>
                      <a:noFill/>
                    </a:ln>
                  </pic:spPr>
                </pic:pic>
              </a:graphicData>
            </a:graphic>
          </wp:inline>
        </w:drawing>
      </w:r>
    </w:p>
    <w:p w14:paraId="4AE073A8" w14:textId="1F3D84F2" w:rsidR="00871276" w:rsidRDefault="00871276" w:rsidP="00391ACE">
      <w:pPr>
        <w:rPr>
          <w:i/>
          <w:iCs/>
        </w:rPr>
      </w:pPr>
      <w:r>
        <w:rPr>
          <w:i/>
          <w:iCs/>
        </w:rPr>
        <w:t xml:space="preserve">Fig </w:t>
      </w:r>
      <w:r w:rsidR="00352E51">
        <w:rPr>
          <w:i/>
          <w:iCs/>
        </w:rPr>
        <w:t>3</w:t>
      </w:r>
      <w:r>
        <w:rPr>
          <w:i/>
          <w:iCs/>
        </w:rPr>
        <w:t xml:space="preserve">. Bipartite projection showing the links between respondents. Two respondents are linked when they share an individual perception. The colors represent their residence: scientists are residents of Puerto </w:t>
      </w:r>
      <w:proofErr w:type="spellStart"/>
      <w:r>
        <w:rPr>
          <w:i/>
          <w:iCs/>
        </w:rPr>
        <w:t>Princesa</w:t>
      </w:r>
      <w:proofErr w:type="spellEnd"/>
      <w:r>
        <w:rPr>
          <w:i/>
          <w:iCs/>
        </w:rPr>
        <w:t xml:space="preserve"> City, decision-makers are residents of Taytay, </w:t>
      </w:r>
      <w:proofErr w:type="spellStart"/>
      <w:r>
        <w:rPr>
          <w:i/>
          <w:iCs/>
        </w:rPr>
        <w:t>Depla</w:t>
      </w:r>
      <w:proofErr w:type="spellEnd"/>
      <w:r>
        <w:rPr>
          <w:i/>
          <w:iCs/>
        </w:rPr>
        <w:t xml:space="preserve"> and Sandoval are the villages in which SEF has undertaken actions, and Batas, Mabini and </w:t>
      </w:r>
      <w:proofErr w:type="spellStart"/>
      <w:r>
        <w:rPr>
          <w:i/>
          <w:iCs/>
        </w:rPr>
        <w:t>Silanga</w:t>
      </w:r>
      <w:proofErr w:type="spellEnd"/>
      <w:r>
        <w:rPr>
          <w:i/>
          <w:iCs/>
        </w:rPr>
        <w:t>, the villages where SEF has not undertaken any action.</w:t>
      </w:r>
      <w:r w:rsidR="00FD6FA4">
        <w:rPr>
          <w:i/>
          <w:iCs/>
        </w:rPr>
        <w:t xml:space="preserve"> The size of nodes represents their degree, meaning the number of answers that each individual respondent gave.</w:t>
      </w:r>
    </w:p>
    <w:p w14:paraId="3A26A413" w14:textId="77714038" w:rsidR="00FD6FA4" w:rsidRDefault="00FD6FA4" w:rsidP="00391ACE">
      <w:pPr>
        <w:rPr>
          <w:i/>
          <w:iCs/>
        </w:rPr>
      </w:pPr>
    </w:p>
    <w:p w14:paraId="4EB9A3F2" w14:textId="0F74AF8D" w:rsidR="00FD6FA4" w:rsidRDefault="00FD6FA4" w:rsidP="00FD6FA4">
      <w:pPr>
        <w:jc w:val="center"/>
        <w:rPr>
          <w:i/>
          <w:iCs/>
        </w:rPr>
      </w:pPr>
      <w:r>
        <w:rPr>
          <w:i/>
          <w:iCs/>
          <w:noProof/>
        </w:rPr>
        <w:lastRenderedPageBreak/>
        <w:drawing>
          <wp:inline distT="0" distB="0" distL="0" distR="0" wp14:anchorId="26B62A7C" wp14:editId="0DF1C73A">
            <wp:extent cx="4120515" cy="45427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0515" cy="4542790"/>
                    </a:xfrm>
                    <a:prstGeom prst="rect">
                      <a:avLst/>
                    </a:prstGeom>
                    <a:noFill/>
                    <a:ln>
                      <a:noFill/>
                    </a:ln>
                  </pic:spPr>
                </pic:pic>
              </a:graphicData>
            </a:graphic>
          </wp:inline>
        </w:drawing>
      </w:r>
    </w:p>
    <w:p w14:paraId="4255AB8B" w14:textId="30FC006D" w:rsidR="00FD6FA4" w:rsidRPr="008C32E8" w:rsidRDefault="00FD6FA4" w:rsidP="00391ACE">
      <w:pPr>
        <w:rPr>
          <w:i/>
          <w:iCs/>
        </w:rPr>
      </w:pPr>
      <w:r>
        <w:rPr>
          <w:i/>
          <w:iCs/>
        </w:rPr>
        <w:t>Fig 4. Bipartite projection showing the links between respondents, and results of a community detection algorithm (</w:t>
      </w:r>
      <w:proofErr w:type="spellStart"/>
      <w:r w:rsidRPr="00FD6FA4">
        <w:rPr>
          <w:i/>
          <w:iCs/>
          <w:highlight w:val="yellow"/>
        </w:rPr>
        <w:t>Clauset</w:t>
      </w:r>
      <w:proofErr w:type="spellEnd"/>
      <w:r w:rsidRPr="00FD6FA4">
        <w:rPr>
          <w:i/>
          <w:iCs/>
          <w:highlight w:val="yellow"/>
        </w:rPr>
        <w:t xml:space="preserve"> et al 2004</w:t>
      </w:r>
      <w:r>
        <w:rPr>
          <w:i/>
          <w:iCs/>
        </w:rPr>
        <w:t xml:space="preserve">). The algorithm detected two main communities which </w:t>
      </w:r>
      <w:r w:rsidR="00FE60FA">
        <w:rPr>
          <w:i/>
          <w:iCs/>
        </w:rPr>
        <w:t>overlap with our two groups of study, showing people from the “test” villages tend to adopt the same discourse as scientists and decision-makers.</w:t>
      </w:r>
    </w:p>
    <w:p w14:paraId="57FD480F" w14:textId="77777777" w:rsidR="008C32E8" w:rsidRDefault="008C32E8" w:rsidP="00391ACE"/>
    <w:p w14:paraId="0FB6DBD1" w14:textId="646180D5" w:rsidR="004A7EEB" w:rsidRPr="00D97972" w:rsidRDefault="004A7EEB" w:rsidP="004A7EEB">
      <w:pPr>
        <w:rPr>
          <w:color w:val="A5A5A5" w:themeColor="accent3"/>
        </w:rPr>
      </w:pPr>
      <w:r w:rsidRPr="00D97972">
        <w:rPr>
          <w:color w:val="A5A5A5" w:themeColor="accent3"/>
        </w:rPr>
        <w:t>/</w:t>
      </w:r>
      <w:r>
        <w:rPr>
          <w:color w:val="A5A5A5" w:themeColor="accent3"/>
        </w:rPr>
        <w:t xml:space="preserve">3.3 </w:t>
      </w:r>
      <w:r w:rsidR="005E24E8">
        <w:rPr>
          <w:color w:val="A5A5A5" w:themeColor="accent3"/>
        </w:rPr>
        <w:t xml:space="preserve">The repartition of perception shows </w:t>
      </w:r>
      <w:r w:rsidR="006603A6">
        <w:rPr>
          <w:color w:val="A5A5A5" w:themeColor="accent3"/>
        </w:rPr>
        <w:t>the content of that shift in discourses</w:t>
      </w:r>
      <w:r w:rsidR="00FE60FA">
        <w:rPr>
          <w:color w:val="A5A5A5" w:themeColor="accent3"/>
        </w:rPr>
        <w:t>: results from statistical analyses</w:t>
      </w:r>
      <w:r w:rsidRPr="00D97972">
        <w:rPr>
          <w:color w:val="A5A5A5" w:themeColor="accent3"/>
        </w:rPr>
        <w:t>/</w:t>
      </w:r>
    </w:p>
    <w:p w14:paraId="656CD5B0" w14:textId="4B0067A1" w:rsidR="003C1ECF" w:rsidRDefault="005E24E8" w:rsidP="003C1ECF">
      <w:pPr>
        <w:pStyle w:val="Paragraphedeliste"/>
        <w:numPr>
          <w:ilvl w:val="0"/>
          <w:numId w:val="3"/>
        </w:numPr>
      </w:pPr>
      <w:r>
        <w:t>Results of the chi-2 tests</w:t>
      </w:r>
      <w:r w:rsidR="003C1ECF">
        <w:t xml:space="preserve"> (table 2 &amp; fig </w:t>
      </w:r>
      <w:r w:rsidR="00CB45EA">
        <w:t>5</w:t>
      </w:r>
      <w:r w:rsidR="003C1ECF">
        <w:t>)</w:t>
      </w:r>
      <w:r>
        <w:t xml:space="preserve"> of the most common answers per category, repartition per group, and p-value.</w:t>
      </w:r>
      <w:r w:rsidR="0048132A">
        <w:t xml:space="preserve"> All answers, codes, repartitions and p-values in appendix.</w:t>
      </w:r>
    </w:p>
    <w:p w14:paraId="79C306E7" w14:textId="65BBFFBC" w:rsidR="004A7EEB" w:rsidRDefault="005E24E8" w:rsidP="005E24E8">
      <w:pPr>
        <w:pStyle w:val="Paragraphedeliste"/>
        <w:numPr>
          <w:ilvl w:val="0"/>
          <w:numId w:val="3"/>
        </w:numPr>
      </w:pPr>
      <w:r>
        <w:t>In the “test</w:t>
      </w:r>
      <w:r w:rsidR="0048132A">
        <w:t>”</w:t>
      </w:r>
      <w:r>
        <w:t xml:space="preserve"> villages, a more constructed discourse especially on MPAs</w:t>
      </w:r>
      <w:r w:rsidR="003C1ECF">
        <w:t xml:space="preserve"> =&gt; </w:t>
      </w:r>
      <w:r w:rsidR="00391ACE">
        <w:t>more answers are generally given to the questions asked.</w:t>
      </w:r>
    </w:p>
    <w:p w14:paraId="77462B7C" w14:textId="3F9BEE40" w:rsidR="005E24E8" w:rsidRDefault="005E24E8" w:rsidP="005E24E8">
      <w:pPr>
        <w:pStyle w:val="Paragraphedeliste"/>
        <w:numPr>
          <w:ilvl w:val="0"/>
          <w:numId w:val="3"/>
        </w:numPr>
      </w:pPr>
      <w:r>
        <w:t>Values stated do not seem to differ between villages. Strong association of marine ecosystems with food and livelihood security.</w:t>
      </w:r>
    </w:p>
    <w:p w14:paraId="5C0FD2DB" w14:textId="01C713E1" w:rsidR="00352E51" w:rsidRDefault="00352E51" w:rsidP="005E24E8">
      <w:pPr>
        <w:pStyle w:val="Paragraphedeliste"/>
        <w:numPr>
          <w:ilvl w:val="0"/>
          <w:numId w:val="3"/>
        </w:numPr>
      </w:pPr>
      <w:r>
        <w:t>The vision of future also seems quite similar.</w:t>
      </w:r>
    </w:p>
    <w:p w14:paraId="18C4DC9A" w14:textId="0643DDAF" w:rsidR="004A7EEB" w:rsidRDefault="004A7EEB" w:rsidP="00A076EC"/>
    <w:tbl>
      <w:tblPr>
        <w:tblW w:w="5980" w:type="dxa"/>
        <w:jc w:val="center"/>
        <w:tblLook w:val="04A0" w:firstRow="1" w:lastRow="0" w:firstColumn="1" w:lastColumn="0" w:noHBand="0" w:noVBand="1"/>
      </w:tblPr>
      <w:tblGrid>
        <w:gridCol w:w="811"/>
        <w:gridCol w:w="2073"/>
        <w:gridCol w:w="1040"/>
        <w:gridCol w:w="800"/>
        <w:gridCol w:w="581"/>
        <w:gridCol w:w="1047"/>
      </w:tblGrid>
      <w:tr w:rsidR="00352E51" w:rsidRPr="00352E51" w14:paraId="5CD10FBA" w14:textId="77777777" w:rsidTr="00352E51">
        <w:trPr>
          <w:trHeight w:val="420"/>
          <w:jc w:val="center"/>
        </w:trPr>
        <w:tc>
          <w:tcPr>
            <w:tcW w:w="680" w:type="dxa"/>
            <w:tcBorders>
              <w:top w:val="single" w:sz="4" w:space="0" w:color="auto"/>
              <w:left w:val="single" w:sz="4" w:space="0" w:color="auto"/>
              <w:bottom w:val="nil"/>
              <w:right w:val="nil"/>
            </w:tcBorders>
            <w:shd w:val="clear" w:color="000000" w:fill="000000"/>
            <w:noWrap/>
            <w:vAlign w:val="center"/>
            <w:hideMark/>
          </w:tcPr>
          <w:p w14:paraId="1B1FC9AB" w14:textId="77777777" w:rsidR="00352E51" w:rsidRPr="00352E51" w:rsidRDefault="00352E51" w:rsidP="00352E51">
            <w:pPr>
              <w:spacing w:after="0" w:line="240" w:lineRule="auto"/>
              <w:jc w:val="center"/>
              <w:rPr>
                <w:rFonts w:ascii="Calibri" w:eastAsia="Times New Roman" w:hAnsi="Calibri" w:cs="Calibri"/>
                <w:b/>
                <w:bCs/>
                <w:color w:val="FFFFFF"/>
                <w:sz w:val="16"/>
                <w:szCs w:val="16"/>
              </w:rPr>
            </w:pPr>
            <w:r w:rsidRPr="00352E51">
              <w:rPr>
                <w:rFonts w:ascii="Calibri" w:eastAsia="Times New Roman" w:hAnsi="Calibri" w:cs="Calibri"/>
                <w:b/>
                <w:bCs/>
                <w:color w:val="FFFFFF"/>
                <w:sz w:val="16"/>
                <w:szCs w:val="16"/>
              </w:rPr>
              <w:t>Category</w:t>
            </w:r>
          </w:p>
        </w:tc>
        <w:tc>
          <w:tcPr>
            <w:tcW w:w="1960" w:type="dxa"/>
            <w:tcBorders>
              <w:top w:val="single" w:sz="4" w:space="0" w:color="auto"/>
              <w:left w:val="single" w:sz="4" w:space="0" w:color="auto"/>
              <w:bottom w:val="nil"/>
              <w:right w:val="nil"/>
            </w:tcBorders>
            <w:shd w:val="clear" w:color="000000" w:fill="000000"/>
            <w:noWrap/>
            <w:vAlign w:val="center"/>
            <w:hideMark/>
          </w:tcPr>
          <w:p w14:paraId="2D8877C5" w14:textId="6B945BFF" w:rsidR="00352E51" w:rsidRPr="00352E51" w:rsidRDefault="002A24D7" w:rsidP="00352E51">
            <w:pPr>
              <w:spacing w:after="0" w:line="240" w:lineRule="auto"/>
              <w:jc w:val="center"/>
              <w:rPr>
                <w:rFonts w:ascii="Calibri" w:eastAsia="Times New Roman" w:hAnsi="Calibri" w:cs="Calibri"/>
                <w:b/>
                <w:bCs/>
                <w:color w:val="FFFFFF"/>
                <w:sz w:val="16"/>
                <w:szCs w:val="16"/>
              </w:rPr>
            </w:pPr>
            <w:r>
              <w:rPr>
                <w:rFonts w:ascii="Calibri" w:eastAsia="Times New Roman" w:hAnsi="Calibri" w:cs="Calibri"/>
                <w:b/>
                <w:bCs/>
                <w:color w:val="FFFFFF"/>
                <w:sz w:val="16"/>
                <w:szCs w:val="16"/>
              </w:rPr>
              <w:t>Perception (code)</w:t>
            </w:r>
          </w:p>
        </w:tc>
        <w:tc>
          <w:tcPr>
            <w:tcW w:w="1040" w:type="dxa"/>
            <w:tcBorders>
              <w:top w:val="single" w:sz="4" w:space="0" w:color="auto"/>
              <w:left w:val="single" w:sz="4" w:space="0" w:color="auto"/>
              <w:bottom w:val="nil"/>
              <w:right w:val="nil"/>
            </w:tcBorders>
            <w:shd w:val="clear" w:color="000000" w:fill="000000"/>
            <w:noWrap/>
            <w:vAlign w:val="center"/>
            <w:hideMark/>
          </w:tcPr>
          <w:p w14:paraId="67678174" w14:textId="60A57AAD" w:rsidR="00352E51" w:rsidRPr="00352E51" w:rsidRDefault="00352E51" w:rsidP="00352E51">
            <w:pPr>
              <w:spacing w:after="0" w:line="240" w:lineRule="auto"/>
              <w:jc w:val="center"/>
              <w:rPr>
                <w:rFonts w:ascii="Calibri" w:eastAsia="Times New Roman" w:hAnsi="Calibri" w:cs="Calibri"/>
                <w:b/>
                <w:bCs/>
                <w:color w:val="FFFFFF"/>
                <w:sz w:val="16"/>
                <w:szCs w:val="16"/>
              </w:rPr>
            </w:pPr>
            <w:r w:rsidRPr="00352E51">
              <w:rPr>
                <w:rFonts w:ascii="Calibri" w:eastAsia="Times New Roman" w:hAnsi="Calibri" w:cs="Calibri"/>
                <w:b/>
                <w:bCs/>
                <w:color w:val="FFFFFF"/>
                <w:sz w:val="16"/>
                <w:szCs w:val="16"/>
              </w:rPr>
              <w:t xml:space="preserve">Control </w:t>
            </w:r>
            <w:r w:rsidR="002B278E">
              <w:rPr>
                <w:rFonts w:ascii="Calibri" w:eastAsia="Times New Roman" w:hAnsi="Calibri" w:cs="Calibri"/>
                <w:b/>
                <w:bCs/>
                <w:color w:val="FFFFFF"/>
                <w:sz w:val="16"/>
                <w:szCs w:val="16"/>
              </w:rPr>
              <w:t>villages</w:t>
            </w:r>
          </w:p>
        </w:tc>
        <w:tc>
          <w:tcPr>
            <w:tcW w:w="800" w:type="dxa"/>
            <w:tcBorders>
              <w:top w:val="single" w:sz="4" w:space="0" w:color="auto"/>
              <w:left w:val="single" w:sz="4" w:space="0" w:color="auto"/>
              <w:bottom w:val="nil"/>
              <w:right w:val="nil"/>
            </w:tcBorders>
            <w:shd w:val="clear" w:color="000000" w:fill="000000"/>
            <w:noWrap/>
            <w:vAlign w:val="center"/>
            <w:hideMark/>
          </w:tcPr>
          <w:p w14:paraId="08DE2486" w14:textId="621FAFE7" w:rsidR="00352E51" w:rsidRPr="00352E51" w:rsidRDefault="00352E51" w:rsidP="00352E51">
            <w:pPr>
              <w:spacing w:after="0" w:line="240" w:lineRule="auto"/>
              <w:jc w:val="center"/>
              <w:rPr>
                <w:rFonts w:ascii="Calibri" w:eastAsia="Times New Roman" w:hAnsi="Calibri" w:cs="Calibri"/>
                <w:b/>
                <w:bCs/>
                <w:color w:val="FFFFFF"/>
                <w:sz w:val="16"/>
                <w:szCs w:val="16"/>
              </w:rPr>
            </w:pPr>
            <w:r w:rsidRPr="00352E51">
              <w:rPr>
                <w:rFonts w:ascii="Calibri" w:eastAsia="Times New Roman" w:hAnsi="Calibri" w:cs="Calibri"/>
                <w:b/>
                <w:bCs/>
                <w:color w:val="FFFFFF"/>
                <w:sz w:val="16"/>
                <w:szCs w:val="16"/>
              </w:rPr>
              <w:t xml:space="preserve">Test </w:t>
            </w:r>
            <w:r w:rsidR="002B278E">
              <w:rPr>
                <w:rFonts w:ascii="Calibri" w:eastAsia="Times New Roman" w:hAnsi="Calibri" w:cs="Calibri"/>
                <w:b/>
                <w:bCs/>
                <w:color w:val="FFFFFF"/>
                <w:sz w:val="16"/>
                <w:szCs w:val="16"/>
              </w:rPr>
              <w:t>villages</w:t>
            </w:r>
          </w:p>
        </w:tc>
        <w:tc>
          <w:tcPr>
            <w:tcW w:w="580" w:type="dxa"/>
            <w:tcBorders>
              <w:top w:val="single" w:sz="4" w:space="0" w:color="auto"/>
              <w:left w:val="single" w:sz="4" w:space="0" w:color="auto"/>
              <w:bottom w:val="nil"/>
              <w:right w:val="nil"/>
            </w:tcBorders>
            <w:shd w:val="clear" w:color="000000" w:fill="000000"/>
            <w:noWrap/>
            <w:vAlign w:val="center"/>
            <w:hideMark/>
          </w:tcPr>
          <w:p w14:paraId="4D2BD2F0" w14:textId="77777777" w:rsidR="00352E51" w:rsidRPr="00352E51" w:rsidRDefault="00352E51" w:rsidP="00352E51">
            <w:pPr>
              <w:spacing w:after="0" w:line="240" w:lineRule="auto"/>
              <w:jc w:val="center"/>
              <w:rPr>
                <w:rFonts w:ascii="Calibri" w:eastAsia="Times New Roman" w:hAnsi="Calibri" w:cs="Calibri"/>
                <w:b/>
                <w:bCs/>
                <w:color w:val="FFFFFF"/>
                <w:sz w:val="16"/>
                <w:szCs w:val="16"/>
              </w:rPr>
            </w:pPr>
            <w:r w:rsidRPr="00352E51">
              <w:rPr>
                <w:rFonts w:ascii="Calibri" w:eastAsia="Times New Roman" w:hAnsi="Calibri" w:cs="Calibri"/>
                <w:b/>
                <w:bCs/>
                <w:color w:val="FFFFFF"/>
                <w:sz w:val="16"/>
                <w:szCs w:val="16"/>
              </w:rPr>
              <w:t>p-value</w:t>
            </w:r>
          </w:p>
        </w:tc>
        <w:tc>
          <w:tcPr>
            <w:tcW w:w="920" w:type="dxa"/>
            <w:tcBorders>
              <w:top w:val="single" w:sz="4" w:space="0" w:color="auto"/>
              <w:left w:val="single" w:sz="4" w:space="0" w:color="auto"/>
              <w:bottom w:val="nil"/>
              <w:right w:val="single" w:sz="4" w:space="0" w:color="auto"/>
            </w:tcBorders>
            <w:shd w:val="clear" w:color="000000" w:fill="000000"/>
            <w:vAlign w:val="center"/>
            <w:hideMark/>
          </w:tcPr>
          <w:p w14:paraId="25482C1D" w14:textId="77777777" w:rsidR="00352E51" w:rsidRPr="00352E51" w:rsidRDefault="00352E51" w:rsidP="00352E51">
            <w:pPr>
              <w:spacing w:after="0" w:line="240" w:lineRule="auto"/>
              <w:jc w:val="center"/>
              <w:rPr>
                <w:rFonts w:ascii="Calibri" w:eastAsia="Times New Roman" w:hAnsi="Calibri" w:cs="Calibri"/>
                <w:b/>
                <w:bCs/>
                <w:color w:val="FFFFFF"/>
                <w:sz w:val="16"/>
                <w:szCs w:val="16"/>
              </w:rPr>
            </w:pPr>
            <w:r w:rsidRPr="00352E51">
              <w:rPr>
                <w:rFonts w:ascii="Calibri" w:eastAsia="Times New Roman" w:hAnsi="Calibri" w:cs="Calibri"/>
                <w:b/>
                <w:bCs/>
                <w:color w:val="FFFFFF"/>
                <w:sz w:val="16"/>
                <w:szCs w:val="16"/>
              </w:rPr>
              <w:t>Number of respondents</w:t>
            </w:r>
          </w:p>
        </w:tc>
      </w:tr>
      <w:tr w:rsidR="00352E51" w:rsidRPr="00352E51" w14:paraId="2BAF65AD" w14:textId="77777777" w:rsidTr="00352E51">
        <w:trPr>
          <w:trHeight w:val="290"/>
          <w:jc w:val="center"/>
        </w:trPr>
        <w:tc>
          <w:tcPr>
            <w:tcW w:w="680" w:type="dxa"/>
            <w:vMerge w:val="restart"/>
            <w:tcBorders>
              <w:top w:val="single" w:sz="4" w:space="0" w:color="auto"/>
              <w:left w:val="single" w:sz="4" w:space="0" w:color="auto"/>
              <w:bottom w:val="single" w:sz="4" w:space="0" w:color="000000"/>
              <w:right w:val="single" w:sz="4" w:space="0" w:color="auto"/>
            </w:tcBorders>
            <w:shd w:val="clear" w:color="D9D9D9" w:fill="FFFFFF"/>
            <w:noWrap/>
            <w:vAlign w:val="center"/>
            <w:hideMark/>
          </w:tcPr>
          <w:p w14:paraId="5B553F71"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Issue</w:t>
            </w:r>
          </w:p>
        </w:tc>
        <w:tc>
          <w:tcPr>
            <w:tcW w:w="1960" w:type="dxa"/>
            <w:tcBorders>
              <w:top w:val="single" w:sz="4" w:space="0" w:color="auto"/>
              <w:left w:val="nil"/>
              <w:bottom w:val="nil"/>
              <w:right w:val="nil"/>
            </w:tcBorders>
            <w:shd w:val="clear" w:color="D9D9D9" w:fill="D9D9D9"/>
            <w:noWrap/>
            <w:vAlign w:val="center"/>
            <w:hideMark/>
          </w:tcPr>
          <w:p w14:paraId="706FA8F7"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issue_cyanide_fishing</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06B2008C"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33%</w:t>
            </w:r>
          </w:p>
        </w:tc>
        <w:tc>
          <w:tcPr>
            <w:tcW w:w="800" w:type="dxa"/>
            <w:tcBorders>
              <w:top w:val="single" w:sz="4" w:space="0" w:color="auto"/>
              <w:left w:val="single" w:sz="4" w:space="0" w:color="auto"/>
              <w:bottom w:val="nil"/>
              <w:right w:val="nil"/>
            </w:tcBorders>
            <w:shd w:val="clear" w:color="D9D9D9" w:fill="D9D9D9"/>
            <w:noWrap/>
            <w:vAlign w:val="center"/>
            <w:hideMark/>
          </w:tcPr>
          <w:p w14:paraId="75CBB53A"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59%</w:t>
            </w:r>
          </w:p>
        </w:tc>
        <w:tc>
          <w:tcPr>
            <w:tcW w:w="580" w:type="dxa"/>
            <w:tcBorders>
              <w:top w:val="single" w:sz="4" w:space="0" w:color="auto"/>
              <w:left w:val="single" w:sz="4" w:space="0" w:color="auto"/>
              <w:bottom w:val="nil"/>
              <w:right w:val="nil"/>
            </w:tcBorders>
            <w:shd w:val="clear" w:color="D9D9D9" w:fill="D9D9D9"/>
            <w:noWrap/>
            <w:vAlign w:val="center"/>
            <w:hideMark/>
          </w:tcPr>
          <w:p w14:paraId="22F45F0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0.099</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13EDFA7E"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31</w:t>
            </w:r>
          </w:p>
        </w:tc>
      </w:tr>
      <w:tr w:rsidR="00352E51" w:rsidRPr="00352E51" w14:paraId="3C6B6485" w14:textId="77777777" w:rsidTr="00352E51">
        <w:trPr>
          <w:trHeight w:val="290"/>
          <w:jc w:val="center"/>
        </w:trPr>
        <w:tc>
          <w:tcPr>
            <w:tcW w:w="680" w:type="dxa"/>
            <w:vMerge/>
            <w:tcBorders>
              <w:top w:val="single" w:sz="4" w:space="0" w:color="auto"/>
              <w:left w:val="single" w:sz="4" w:space="0" w:color="auto"/>
              <w:bottom w:val="single" w:sz="4" w:space="0" w:color="000000"/>
              <w:right w:val="single" w:sz="4" w:space="0" w:color="auto"/>
            </w:tcBorders>
            <w:vAlign w:val="center"/>
            <w:hideMark/>
          </w:tcPr>
          <w:p w14:paraId="02DC76A4"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auto" w:fill="auto"/>
            <w:noWrap/>
            <w:vAlign w:val="center"/>
            <w:hideMark/>
          </w:tcPr>
          <w:p w14:paraId="5EC02E6B"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issue_degraded_ecosystems</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0DC1AB99"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19%</w:t>
            </w:r>
          </w:p>
        </w:tc>
        <w:tc>
          <w:tcPr>
            <w:tcW w:w="800" w:type="dxa"/>
            <w:tcBorders>
              <w:top w:val="single" w:sz="4" w:space="0" w:color="auto"/>
              <w:left w:val="single" w:sz="4" w:space="0" w:color="auto"/>
              <w:bottom w:val="nil"/>
              <w:right w:val="nil"/>
            </w:tcBorders>
            <w:shd w:val="clear" w:color="auto" w:fill="auto"/>
            <w:noWrap/>
            <w:vAlign w:val="center"/>
            <w:hideMark/>
          </w:tcPr>
          <w:p w14:paraId="59E0C63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45%</w:t>
            </w:r>
          </w:p>
        </w:tc>
        <w:tc>
          <w:tcPr>
            <w:tcW w:w="580" w:type="dxa"/>
            <w:tcBorders>
              <w:top w:val="single" w:sz="4" w:space="0" w:color="auto"/>
              <w:left w:val="single" w:sz="4" w:space="0" w:color="auto"/>
              <w:bottom w:val="nil"/>
              <w:right w:val="nil"/>
            </w:tcBorders>
            <w:shd w:val="clear" w:color="auto" w:fill="auto"/>
            <w:noWrap/>
            <w:vAlign w:val="center"/>
            <w:hideMark/>
          </w:tcPr>
          <w:p w14:paraId="1F20868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0.070</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3DD556B0"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17</w:t>
            </w:r>
          </w:p>
        </w:tc>
      </w:tr>
      <w:tr w:rsidR="00352E51" w:rsidRPr="00352E51" w14:paraId="607AD07E" w14:textId="77777777" w:rsidTr="00352E51">
        <w:trPr>
          <w:trHeight w:val="290"/>
          <w:jc w:val="center"/>
        </w:trPr>
        <w:tc>
          <w:tcPr>
            <w:tcW w:w="680" w:type="dxa"/>
            <w:vMerge/>
            <w:tcBorders>
              <w:top w:val="single" w:sz="4" w:space="0" w:color="auto"/>
              <w:left w:val="single" w:sz="4" w:space="0" w:color="auto"/>
              <w:bottom w:val="single" w:sz="4" w:space="0" w:color="000000"/>
              <w:right w:val="single" w:sz="4" w:space="0" w:color="auto"/>
            </w:tcBorders>
            <w:vAlign w:val="center"/>
            <w:hideMark/>
          </w:tcPr>
          <w:p w14:paraId="7EFC2033"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D9D9D9" w:fill="D9D9D9"/>
            <w:noWrap/>
            <w:vAlign w:val="center"/>
            <w:hideMark/>
          </w:tcPr>
          <w:p w14:paraId="296C3539"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issue_few_fish</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37428660"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56%</w:t>
            </w:r>
          </w:p>
        </w:tc>
        <w:tc>
          <w:tcPr>
            <w:tcW w:w="800" w:type="dxa"/>
            <w:tcBorders>
              <w:top w:val="single" w:sz="4" w:space="0" w:color="auto"/>
              <w:left w:val="single" w:sz="4" w:space="0" w:color="auto"/>
              <w:bottom w:val="nil"/>
              <w:right w:val="nil"/>
            </w:tcBorders>
            <w:shd w:val="clear" w:color="D9D9D9" w:fill="D9D9D9"/>
            <w:noWrap/>
            <w:vAlign w:val="center"/>
            <w:hideMark/>
          </w:tcPr>
          <w:p w14:paraId="0E29F356"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82%</w:t>
            </w:r>
          </w:p>
        </w:tc>
        <w:tc>
          <w:tcPr>
            <w:tcW w:w="580" w:type="dxa"/>
            <w:tcBorders>
              <w:top w:val="single" w:sz="4" w:space="0" w:color="auto"/>
              <w:left w:val="single" w:sz="4" w:space="0" w:color="auto"/>
              <w:bottom w:val="nil"/>
              <w:right w:val="nil"/>
            </w:tcBorders>
            <w:shd w:val="clear" w:color="D9D9D9" w:fill="D9D9D9"/>
            <w:noWrap/>
            <w:vAlign w:val="center"/>
            <w:hideMark/>
          </w:tcPr>
          <w:p w14:paraId="7A68D147"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0.079</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223182FC"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44</w:t>
            </w:r>
          </w:p>
        </w:tc>
      </w:tr>
      <w:tr w:rsidR="00352E51" w:rsidRPr="00352E51" w14:paraId="3F59409A" w14:textId="77777777" w:rsidTr="00352E51">
        <w:trPr>
          <w:trHeight w:val="290"/>
          <w:jc w:val="center"/>
        </w:trPr>
        <w:tc>
          <w:tcPr>
            <w:tcW w:w="680" w:type="dxa"/>
            <w:vMerge/>
            <w:tcBorders>
              <w:top w:val="single" w:sz="4" w:space="0" w:color="auto"/>
              <w:left w:val="single" w:sz="4" w:space="0" w:color="auto"/>
              <w:bottom w:val="single" w:sz="4" w:space="0" w:color="000000"/>
              <w:right w:val="single" w:sz="4" w:space="0" w:color="auto"/>
            </w:tcBorders>
            <w:vAlign w:val="center"/>
            <w:hideMark/>
          </w:tcPr>
          <w:p w14:paraId="629D4E88"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auto" w:fill="auto"/>
            <w:noWrap/>
            <w:vAlign w:val="center"/>
            <w:hideMark/>
          </w:tcPr>
          <w:p w14:paraId="47DAB2AA"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issue_illegal_fishing</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2C04F5E1"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58%</w:t>
            </w:r>
          </w:p>
        </w:tc>
        <w:tc>
          <w:tcPr>
            <w:tcW w:w="800" w:type="dxa"/>
            <w:tcBorders>
              <w:top w:val="single" w:sz="4" w:space="0" w:color="auto"/>
              <w:left w:val="single" w:sz="4" w:space="0" w:color="auto"/>
              <w:bottom w:val="nil"/>
              <w:right w:val="nil"/>
            </w:tcBorders>
            <w:shd w:val="clear" w:color="auto" w:fill="auto"/>
            <w:noWrap/>
            <w:vAlign w:val="center"/>
            <w:hideMark/>
          </w:tcPr>
          <w:p w14:paraId="5559959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86%</w:t>
            </w:r>
          </w:p>
        </w:tc>
        <w:tc>
          <w:tcPr>
            <w:tcW w:w="580" w:type="dxa"/>
            <w:tcBorders>
              <w:top w:val="single" w:sz="4" w:space="0" w:color="auto"/>
              <w:left w:val="single" w:sz="4" w:space="0" w:color="auto"/>
              <w:bottom w:val="nil"/>
              <w:right w:val="nil"/>
            </w:tcBorders>
            <w:shd w:val="clear" w:color="auto" w:fill="auto"/>
            <w:noWrap/>
            <w:vAlign w:val="center"/>
            <w:hideMark/>
          </w:tcPr>
          <w:p w14:paraId="68CC044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0.052</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75CC72B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47</w:t>
            </w:r>
          </w:p>
        </w:tc>
      </w:tr>
      <w:tr w:rsidR="00352E51" w:rsidRPr="00352E51" w14:paraId="5868CDC9" w14:textId="77777777" w:rsidTr="00352E51">
        <w:trPr>
          <w:trHeight w:val="290"/>
          <w:jc w:val="center"/>
        </w:trPr>
        <w:tc>
          <w:tcPr>
            <w:tcW w:w="680" w:type="dxa"/>
            <w:vMerge/>
            <w:tcBorders>
              <w:top w:val="single" w:sz="4" w:space="0" w:color="auto"/>
              <w:left w:val="single" w:sz="4" w:space="0" w:color="auto"/>
              <w:bottom w:val="single" w:sz="4" w:space="0" w:color="000000"/>
              <w:right w:val="single" w:sz="4" w:space="0" w:color="auto"/>
            </w:tcBorders>
            <w:vAlign w:val="center"/>
            <w:hideMark/>
          </w:tcPr>
          <w:p w14:paraId="5E102C49"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D9D9D9" w:fill="D9D9D9"/>
            <w:noWrap/>
            <w:vAlign w:val="center"/>
            <w:hideMark/>
          </w:tcPr>
          <w:p w14:paraId="2D7FCC48"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issue_no</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1ACC9EE1"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42%</w:t>
            </w:r>
          </w:p>
        </w:tc>
        <w:tc>
          <w:tcPr>
            <w:tcW w:w="800" w:type="dxa"/>
            <w:tcBorders>
              <w:top w:val="single" w:sz="4" w:space="0" w:color="auto"/>
              <w:left w:val="single" w:sz="4" w:space="0" w:color="auto"/>
              <w:bottom w:val="nil"/>
              <w:right w:val="nil"/>
            </w:tcBorders>
            <w:shd w:val="clear" w:color="D9D9D9" w:fill="D9D9D9"/>
            <w:noWrap/>
            <w:vAlign w:val="center"/>
            <w:hideMark/>
          </w:tcPr>
          <w:p w14:paraId="36F7E479"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580" w:type="dxa"/>
            <w:tcBorders>
              <w:top w:val="single" w:sz="4" w:space="0" w:color="auto"/>
              <w:left w:val="single" w:sz="4" w:space="0" w:color="auto"/>
              <w:bottom w:val="nil"/>
              <w:right w:val="nil"/>
            </w:tcBorders>
            <w:shd w:val="clear" w:color="D9D9D9" w:fill="D9D9D9"/>
            <w:noWrap/>
            <w:vAlign w:val="center"/>
            <w:hideMark/>
          </w:tcPr>
          <w:p w14:paraId="5F04BB6A"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0.001</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5396B9F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15</w:t>
            </w:r>
          </w:p>
        </w:tc>
      </w:tr>
      <w:tr w:rsidR="00352E51" w:rsidRPr="00352E51" w14:paraId="765A13DC" w14:textId="77777777" w:rsidTr="00352E51">
        <w:trPr>
          <w:trHeight w:val="290"/>
          <w:jc w:val="center"/>
        </w:trPr>
        <w:tc>
          <w:tcPr>
            <w:tcW w:w="68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7AB736F"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Solution</w:t>
            </w:r>
          </w:p>
        </w:tc>
        <w:tc>
          <w:tcPr>
            <w:tcW w:w="1960" w:type="dxa"/>
            <w:tcBorders>
              <w:top w:val="single" w:sz="4" w:space="0" w:color="auto"/>
              <w:left w:val="nil"/>
              <w:bottom w:val="nil"/>
              <w:right w:val="nil"/>
            </w:tcBorders>
            <w:shd w:val="clear" w:color="auto" w:fill="auto"/>
            <w:noWrap/>
            <w:vAlign w:val="center"/>
            <w:hideMark/>
          </w:tcPr>
          <w:p w14:paraId="177833E1"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solution_compliance</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796B0E4F"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3%</w:t>
            </w:r>
          </w:p>
        </w:tc>
        <w:tc>
          <w:tcPr>
            <w:tcW w:w="800" w:type="dxa"/>
            <w:tcBorders>
              <w:top w:val="single" w:sz="4" w:space="0" w:color="auto"/>
              <w:left w:val="single" w:sz="4" w:space="0" w:color="auto"/>
              <w:bottom w:val="nil"/>
              <w:right w:val="nil"/>
            </w:tcBorders>
            <w:shd w:val="clear" w:color="auto" w:fill="auto"/>
            <w:noWrap/>
            <w:vAlign w:val="center"/>
            <w:hideMark/>
          </w:tcPr>
          <w:p w14:paraId="1B10E928"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23%</w:t>
            </w:r>
          </w:p>
        </w:tc>
        <w:tc>
          <w:tcPr>
            <w:tcW w:w="580" w:type="dxa"/>
            <w:tcBorders>
              <w:top w:val="single" w:sz="4" w:space="0" w:color="auto"/>
              <w:left w:val="single" w:sz="4" w:space="0" w:color="auto"/>
              <w:bottom w:val="nil"/>
              <w:right w:val="nil"/>
            </w:tcBorders>
            <w:shd w:val="clear" w:color="auto" w:fill="auto"/>
            <w:noWrap/>
            <w:vAlign w:val="center"/>
            <w:hideMark/>
          </w:tcPr>
          <w:p w14:paraId="72CD7221"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0.048</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4EA04A9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6</w:t>
            </w:r>
          </w:p>
        </w:tc>
      </w:tr>
      <w:tr w:rsidR="00352E51" w:rsidRPr="00352E51" w14:paraId="416D3596"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78B8E80A"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D9D9D9" w:fill="D9D9D9"/>
            <w:noWrap/>
            <w:vAlign w:val="center"/>
            <w:hideMark/>
          </w:tcPr>
          <w:p w14:paraId="68AAB10E"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solution_mpa</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775755CD"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800" w:type="dxa"/>
            <w:tcBorders>
              <w:top w:val="single" w:sz="4" w:space="0" w:color="auto"/>
              <w:left w:val="single" w:sz="4" w:space="0" w:color="auto"/>
              <w:bottom w:val="nil"/>
              <w:right w:val="nil"/>
            </w:tcBorders>
            <w:shd w:val="clear" w:color="D9D9D9" w:fill="D9D9D9"/>
            <w:noWrap/>
            <w:vAlign w:val="center"/>
            <w:hideMark/>
          </w:tcPr>
          <w:p w14:paraId="6C839301"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23%</w:t>
            </w:r>
          </w:p>
        </w:tc>
        <w:tc>
          <w:tcPr>
            <w:tcW w:w="580" w:type="dxa"/>
            <w:tcBorders>
              <w:top w:val="single" w:sz="4" w:space="0" w:color="auto"/>
              <w:left w:val="single" w:sz="4" w:space="0" w:color="auto"/>
              <w:bottom w:val="nil"/>
              <w:right w:val="nil"/>
            </w:tcBorders>
            <w:shd w:val="clear" w:color="D9D9D9" w:fill="D9D9D9"/>
            <w:noWrap/>
            <w:vAlign w:val="center"/>
            <w:hideMark/>
          </w:tcPr>
          <w:p w14:paraId="0EAB7F2F"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0.012</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643ADE40"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9</w:t>
            </w:r>
          </w:p>
        </w:tc>
      </w:tr>
      <w:tr w:rsidR="00352E51" w:rsidRPr="00352E51" w14:paraId="726F16FE"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15AD8A65"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auto" w:fill="auto"/>
            <w:noWrap/>
            <w:vAlign w:val="center"/>
            <w:hideMark/>
          </w:tcPr>
          <w:p w14:paraId="3DA3026F"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solution_no_idea</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31A12994"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36%</w:t>
            </w:r>
          </w:p>
        </w:tc>
        <w:tc>
          <w:tcPr>
            <w:tcW w:w="800" w:type="dxa"/>
            <w:tcBorders>
              <w:top w:val="single" w:sz="4" w:space="0" w:color="auto"/>
              <w:left w:val="single" w:sz="4" w:space="0" w:color="auto"/>
              <w:bottom w:val="nil"/>
              <w:right w:val="nil"/>
            </w:tcBorders>
            <w:shd w:val="clear" w:color="auto" w:fill="auto"/>
            <w:noWrap/>
            <w:vAlign w:val="center"/>
            <w:hideMark/>
          </w:tcPr>
          <w:p w14:paraId="0EC4D0A9"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580" w:type="dxa"/>
            <w:tcBorders>
              <w:top w:val="single" w:sz="4" w:space="0" w:color="auto"/>
              <w:left w:val="single" w:sz="4" w:space="0" w:color="auto"/>
              <w:bottom w:val="nil"/>
              <w:right w:val="nil"/>
            </w:tcBorders>
            <w:shd w:val="clear" w:color="auto" w:fill="auto"/>
            <w:noWrap/>
            <w:vAlign w:val="center"/>
            <w:hideMark/>
          </w:tcPr>
          <w:p w14:paraId="2F859838"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0.004</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332D785B"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13</w:t>
            </w:r>
          </w:p>
        </w:tc>
      </w:tr>
      <w:tr w:rsidR="00352E51" w:rsidRPr="00352E51" w14:paraId="14034E03"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2AD2099B"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D9D9D9" w:fill="D9D9D9"/>
            <w:noWrap/>
            <w:vAlign w:val="center"/>
            <w:hideMark/>
          </w:tcPr>
          <w:p w14:paraId="56C7588C"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solution_patrolling</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389CD98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14%</w:t>
            </w:r>
          </w:p>
        </w:tc>
        <w:tc>
          <w:tcPr>
            <w:tcW w:w="800" w:type="dxa"/>
            <w:tcBorders>
              <w:top w:val="single" w:sz="4" w:space="0" w:color="auto"/>
              <w:left w:val="single" w:sz="4" w:space="0" w:color="auto"/>
              <w:bottom w:val="nil"/>
              <w:right w:val="nil"/>
            </w:tcBorders>
            <w:shd w:val="clear" w:color="D9D9D9" w:fill="D9D9D9"/>
            <w:noWrap/>
            <w:vAlign w:val="center"/>
            <w:hideMark/>
          </w:tcPr>
          <w:p w14:paraId="74514A9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50%</w:t>
            </w:r>
          </w:p>
        </w:tc>
        <w:tc>
          <w:tcPr>
            <w:tcW w:w="580" w:type="dxa"/>
            <w:tcBorders>
              <w:top w:val="single" w:sz="4" w:space="0" w:color="auto"/>
              <w:left w:val="single" w:sz="4" w:space="0" w:color="auto"/>
              <w:bottom w:val="nil"/>
              <w:right w:val="nil"/>
            </w:tcBorders>
            <w:shd w:val="clear" w:color="D9D9D9" w:fill="D9D9D9"/>
            <w:noWrap/>
            <w:vAlign w:val="center"/>
            <w:hideMark/>
          </w:tcPr>
          <w:p w14:paraId="6DA727B8"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0.007</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40ABA5C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17</w:t>
            </w:r>
          </w:p>
        </w:tc>
      </w:tr>
      <w:tr w:rsidR="00352E51" w:rsidRPr="00352E51" w14:paraId="7E160023" w14:textId="77777777" w:rsidTr="00352E51">
        <w:trPr>
          <w:trHeight w:val="290"/>
          <w:jc w:val="center"/>
        </w:trPr>
        <w:tc>
          <w:tcPr>
            <w:tcW w:w="68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DD47B97"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MPA</w:t>
            </w:r>
          </w:p>
        </w:tc>
        <w:tc>
          <w:tcPr>
            <w:tcW w:w="1960" w:type="dxa"/>
            <w:tcBorders>
              <w:top w:val="single" w:sz="4" w:space="0" w:color="auto"/>
              <w:left w:val="nil"/>
              <w:bottom w:val="nil"/>
              <w:right w:val="nil"/>
            </w:tcBorders>
            <w:shd w:val="clear" w:color="auto" w:fill="auto"/>
            <w:noWrap/>
            <w:vAlign w:val="center"/>
            <w:hideMark/>
          </w:tcPr>
          <w:p w14:paraId="3B963A08"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mpa_benefit_fish</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0D3D072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56%</w:t>
            </w:r>
          </w:p>
        </w:tc>
        <w:tc>
          <w:tcPr>
            <w:tcW w:w="800" w:type="dxa"/>
            <w:tcBorders>
              <w:top w:val="single" w:sz="4" w:space="0" w:color="auto"/>
              <w:left w:val="single" w:sz="4" w:space="0" w:color="auto"/>
              <w:bottom w:val="nil"/>
              <w:right w:val="nil"/>
            </w:tcBorders>
            <w:shd w:val="clear" w:color="auto" w:fill="auto"/>
            <w:noWrap/>
            <w:vAlign w:val="center"/>
            <w:hideMark/>
          </w:tcPr>
          <w:p w14:paraId="7947DFCB"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86%</w:t>
            </w:r>
          </w:p>
        </w:tc>
        <w:tc>
          <w:tcPr>
            <w:tcW w:w="580" w:type="dxa"/>
            <w:tcBorders>
              <w:top w:val="single" w:sz="4" w:space="0" w:color="auto"/>
              <w:left w:val="single" w:sz="4" w:space="0" w:color="auto"/>
              <w:bottom w:val="nil"/>
              <w:right w:val="nil"/>
            </w:tcBorders>
            <w:shd w:val="clear" w:color="auto" w:fill="auto"/>
            <w:noWrap/>
            <w:vAlign w:val="center"/>
            <w:hideMark/>
          </w:tcPr>
          <w:p w14:paraId="55616847"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0.033</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14EA5D9D"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44</w:t>
            </w:r>
          </w:p>
        </w:tc>
      </w:tr>
      <w:tr w:rsidR="00352E51" w:rsidRPr="00352E51" w14:paraId="3E3F2B69"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2D103015"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D9D9D9" w:fill="D9D9D9"/>
            <w:noWrap/>
            <w:vAlign w:val="center"/>
            <w:hideMark/>
          </w:tcPr>
          <w:p w14:paraId="611168B9"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mpa_benefit_locals</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73EB6BE7"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56%</w:t>
            </w:r>
          </w:p>
        </w:tc>
        <w:tc>
          <w:tcPr>
            <w:tcW w:w="800" w:type="dxa"/>
            <w:tcBorders>
              <w:top w:val="single" w:sz="4" w:space="0" w:color="auto"/>
              <w:left w:val="single" w:sz="4" w:space="0" w:color="auto"/>
              <w:bottom w:val="nil"/>
              <w:right w:val="nil"/>
            </w:tcBorders>
            <w:shd w:val="clear" w:color="D9D9D9" w:fill="D9D9D9"/>
            <w:noWrap/>
            <w:vAlign w:val="center"/>
            <w:hideMark/>
          </w:tcPr>
          <w:p w14:paraId="29976FEF"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82%</w:t>
            </w:r>
          </w:p>
        </w:tc>
        <w:tc>
          <w:tcPr>
            <w:tcW w:w="580" w:type="dxa"/>
            <w:tcBorders>
              <w:top w:val="single" w:sz="4" w:space="0" w:color="auto"/>
              <w:left w:val="single" w:sz="4" w:space="0" w:color="auto"/>
              <w:bottom w:val="nil"/>
              <w:right w:val="nil"/>
            </w:tcBorders>
            <w:shd w:val="clear" w:color="D9D9D9" w:fill="D9D9D9"/>
            <w:noWrap/>
            <w:vAlign w:val="center"/>
            <w:hideMark/>
          </w:tcPr>
          <w:p w14:paraId="31ADF6C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0.079</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79E0C05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45</w:t>
            </w:r>
          </w:p>
        </w:tc>
      </w:tr>
      <w:tr w:rsidR="00352E51" w:rsidRPr="00352E51" w14:paraId="569844F8"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18712D58"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auto" w:fill="auto"/>
            <w:noWrap/>
            <w:vAlign w:val="center"/>
            <w:hideMark/>
          </w:tcPr>
          <w:p w14:paraId="48E54669"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mpa_goal_people</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1ECB01E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800" w:type="dxa"/>
            <w:tcBorders>
              <w:top w:val="single" w:sz="4" w:space="0" w:color="auto"/>
              <w:left w:val="single" w:sz="4" w:space="0" w:color="auto"/>
              <w:bottom w:val="nil"/>
              <w:right w:val="nil"/>
            </w:tcBorders>
            <w:shd w:val="clear" w:color="auto" w:fill="auto"/>
            <w:noWrap/>
            <w:vAlign w:val="center"/>
            <w:hideMark/>
          </w:tcPr>
          <w:p w14:paraId="6D142FD6"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23%</w:t>
            </w:r>
          </w:p>
        </w:tc>
        <w:tc>
          <w:tcPr>
            <w:tcW w:w="580" w:type="dxa"/>
            <w:tcBorders>
              <w:top w:val="single" w:sz="4" w:space="0" w:color="auto"/>
              <w:left w:val="single" w:sz="4" w:space="0" w:color="auto"/>
              <w:bottom w:val="nil"/>
              <w:right w:val="nil"/>
            </w:tcBorders>
            <w:shd w:val="clear" w:color="auto" w:fill="auto"/>
            <w:noWrap/>
            <w:vAlign w:val="center"/>
            <w:hideMark/>
          </w:tcPr>
          <w:p w14:paraId="3A7C24CC"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0.012</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479C69EB"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7</w:t>
            </w:r>
          </w:p>
        </w:tc>
      </w:tr>
      <w:tr w:rsidR="00352E51" w:rsidRPr="00352E51" w14:paraId="71375BAF"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2A9ACDD0"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D9D9D9" w:fill="D9D9D9"/>
            <w:noWrap/>
            <w:vAlign w:val="center"/>
            <w:hideMark/>
          </w:tcPr>
          <w:p w14:paraId="0FD677BC"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mpa_need_incnlusiveness</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31BC329A"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8%</w:t>
            </w:r>
          </w:p>
        </w:tc>
        <w:tc>
          <w:tcPr>
            <w:tcW w:w="800" w:type="dxa"/>
            <w:tcBorders>
              <w:top w:val="single" w:sz="4" w:space="0" w:color="auto"/>
              <w:left w:val="single" w:sz="4" w:space="0" w:color="auto"/>
              <w:bottom w:val="nil"/>
              <w:right w:val="nil"/>
            </w:tcBorders>
            <w:shd w:val="clear" w:color="D9D9D9" w:fill="D9D9D9"/>
            <w:noWrap/>
            <w:vAlign w:val="center"/>
            <w:hideMark/>
          </w:tcPr>
          <w:p w14:paraId="1BEE067A"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32%</w:t>
            </w:r>
          </w:p>
        </w:tc>
        <w:tc>
          <w:tcPr>
            <w:tcW w:w="580" w:type="dxa"/>
            <w:tcBorders>
              <w:top w:val="single" w:sz="4" w:space="0" w:color="auto"/>
              <w:left w:val="single" w:sz="4" w:space="0" w:color="auto"/>
              <w:bottom w:val="nil"/>
              <w:right w:val="nil"/>
            </w:tcBorders>
            <w:shd w:val="clear" w:color="D9D9D9" w:fill="D9D9D9"/>
            <w:noWrap/>
            <w:vAlign w:val="center"/>
            <w:hideMark/>
          </w:tcPr>
          <w:p w14:paraId="157B4992"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0.052</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35C211F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14</w:t>
            </w:r>
          </w:p>
        </w:tc>
      </w:tr>
      <w:tr w:rsidR="00352E51" w:rsidRPr="00352E51" w14:paraId="4AD46E3F"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73C5428E"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auto" w:fill="auto"/>
            <w:noWrap/>
            <w:vAlign w:val="center"/>
            <w:hideMark/>
          </w:tcPr>
          <w:p w14:paraId="719736B2"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mpa_need_no_outsiders</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511A474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800" w:type="dxa"/>
            <w:tcBorders>
              <w:top w:val="single" w:sz="4" w:space="0" w:color="auto"/>
              <w:left w:val="single" w:sz="4" w:space="0" w:color="auto"/>
              <w:bottom w:val="nil"/>
              <w:right w:val="nil"/>
            </w:tcBorders>
            <w:shd w:val="clear" w:color="auto" w:fill="auto"/>
            <w:noWrap/>
            <w:vAlign w:val="center"/>
            <w:hideMark/>
          </w:tcPr>
          <w:p w14:paraId="782CFE9A"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14%</w:t>
            </w:r>
          </w:p>
        </w:tc>
        <w:tc>
          <w:tcPr>
            <w:tcW w:w="580" w:type="dxa"/>
            <w:tcBorders>
              <w:top w:val="single" w:sz="4" w:space="0" w:color="auto"/>
              <w:left w:val="single" w:sz="4" w:space="0" w:color="auto"/>
              <w:bottom w:val="nil"/>
              <w:right w:val="nil"/>
            </w:tcBorders>
            <w:shd w:val="clear" w:color="auto" w:fill="auto"/>
            <w:noWrap/>
            <w:vAlign w:val="center"/>
            <w:hideMark/>
          </w:tcPr>
          <w:p w14:paraId="7130404B"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0.096</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631F823E"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4</w:t>
            </w:r>
          </w:p>
        </w:tc>
      </w:tr>
      <w:tr w:rsidR="00352E51" w:rsidRPr="00352E51" w14:paraId="42F5D1BC" w14:textId="77777777" w:rsidTr="00352E51">
        <w:trPr>
          <w:trHeight w:val="290"/>
          <w:jc w:val="center"/>
        </w:trPr>
        <w:tc>
          <w:tcPr>
            <w:tcW w:w="680" w:type="dxa"/>
            <w:vMerge w:val="restart"/>
            <w:tcBorders>
              <w:top w:val="nil"/>
              <w:left w:val="single" w:sz="4" w:space="0" w:color="auto"/>
              <w:bottom w:val="single" w:sz="4" w:space="0" w:color="000000"/>
              <w:right w:val="single" w:sz="4" w:space="0" w:color="auto"/>
            </w:tcBorders>
            <w:shd w:val="clear" w:color="D9D9D9" w:fill="FFFFFF"/>
            <w:noWrap/>
            <w:vAlign w:val="center"/>
            <w:hideMark/>
          </w:tcPr>
          <w:p w14:paraId="52964C0A"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NGO</w:t>
            </w:r>
          </w:p>
        </w:tc>
        <w:tc>
          <w:tcPr>
            <w:tcW w:w="1960" w:type="dxa"/>
            <w:tcBorders>
              <w:top w:val="single" w:sz="4" w:space="0" w:color="auto"/>
              <w:left w:val="nil"/>
              <w:bottom w:val="nil"/>
              <w:right w:val="nil"/>
            </w:tcBorders>
            <w:shd w:val="clear" w:color="D9D9D9" w:fill="D9D9D9"/>
            <w:noWrap/>
            <w:vAlign w:val="center"/>
            <w:hideMark/>
          </w:tcPr>
          <w:p w14:paraId="6AEFFDB6"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ngo_advice_develop</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13E52668"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800" w:type="dxa"/>
            <w:tcBorders>
              <w:top w:val="single" w:sz="4" w:space="0" w:color="auto"/>
              <w:left w:val="single" w:sz="4" w:space="0" w:color="auto"/>
              <w:bottom w:val="nil"/>
              <w:right w:val="nil"/>
            </w:tcBorders>
            <w:shd w:val="clear" w:color="D9D9D9" w:fill="D9D9D9"/>
            <w:noWrap/>
            <w:vAlign w:val="center"/>
            <w:hideMark/>
          </w:tcPr>
          <w:p w14:paraId="58FF1DD9"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23%</w:t>
            </w:r>
          </w:p>
        </w:tc>
        <w:tc>
          <w:tcPr>
            <w:tcW w:w="580" w:type="dxa"/>
            <w:tcBorders>
              <w:top w:val="single" w:sz="4" w:space="0" w:color="auto"/>
              <w:left w:val="single" w:sz="4" w:space="0" w:color="auto"/>
              <w:bottom w:val="nil"/>
              <w:right w:val="nil"/>
            </w:tcBorders>
            <w:shd w:val="clear" w:color="D9D9D9" w:fill="D9D9D9"/>
            <w:noWrap/>
            <w:vAlign w:val="center"/>
            <w:hideMark/>
          </w:tcPr>
          <w:p w14:paraId="4E290544"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0.012</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16BBF01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7</w:t>
            </w:r>
          </w:p>
        </w:tc>
      </w:tr>
      <w:tr w:rsidR="00352E51" w:rsidRPr="00352E51" w14:paraId="046FC230"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6B7BE20D"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auto" w:fill="auto"/>
            <w:noWrap/>
            <w:vAlign w:val="center"/>
            <w:hideMark/>
          </w:tcPr>
          <w:p w14:paraId="0A9BF4E0"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ngo_advice_enforcement</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1C0DFB6F"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800" w:type="dxa"/>
            <w:tcBorders>
              <w:top w:val="single" w:sz="4" w:space="0" w:color="auto"/>
              <w:left w:val="single" w:sz="4" w:space="0" w:color="auto"/>
              <w:bottom w:val="nil"/>
              <w:right w:val="nil"/>
            </w:tcBorders>
            <w:shd w:val="clear" w:color="auto" w:fill="auto"/>
            <w:noWrap/>
            <w:vAlign w:val="center"/>
            <w:hideMark/>
          </w:tcPr>
          <w:p w14:paraId="5F73A4CB"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14%</w:t>
            </w:r>
          </w:p>
        </w:tc>
        <w:tc>
          <w:tcPr>
            <w:tcW w:w="580" w:type="dxa"/>
            <w:tcBorders>
              <w:top w:val="single" w:sz="4" w:space="0" w:color="auto"/>
              <w:left w:val="single" w:sz="4" w:space="0" w:color="auto"/>
              <w:bottom w:val="nil"/>
              <w:right w:val="nil"/>
            </w:tcBorders>
            <w:shd w:val="clear" w:color="auto" w:fill="auto"/>
            <w:noWrap/>
            <w:vAlign w:val="center"/>
            <w:hideMark/>
          </w:tcPr>
          <w:p w14:paraId="7285E6EB"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0.096</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15F8CA26"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3</w:t>
            </w:r>
          </w:p>
        </w:tc>
      </w:tr>
      <w:tr w:rsidR="00352E51" w:rsidRPr="00352E51" w14:paraId="7398B6B5"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4E796F9F"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D9D9D9" w:fill="D9D9D9"/>
            <w:noWrap/>
            <w:vAlign w:val="center"/>
            <w:hideMark/>
          </w:tcPr>
          <w:p w14:paraId="23BC0BD8"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ngo_conservation</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001F1239"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6%</w:t>
            </w:r>
          </w:p>
        </w:tc>
        <w:tc>
          <w:tcPr>
            <w:tcW w:w="800" w:type="dxa"/>
            <w:tcBorders>
              <w:top w:val="single" w:sz="4" w:space="0" w:color="auto"/>
              <w:left w:val="single" w:sz="4" w:space="0" w:color="auto"/>
              <w:bottom w:val="nil"/>
              <w:right w:val="nil"/>
            </w:tcBorders>
            <w:shd w:val="clear" w:color="D9D9D9" w:fill="D9D9D9"/>
            <w:noWrap/>
            <w:vAlign w:val="center"/>
            <w:hideMark/>
          </w:tcPr>
          <w:p w14:paraId="430AC363"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32%</w:t>
            </w:r>
          </w:p>
        </w:tc>
        <w:tc>
          <w:tcPr>
            <w:tcW w:w="580" w:type="dxa"/>
            <w:tcBorders>
              <w:top w:val="single" w:sz="4" w:space="0" w:color="auto"/>
              <w:left w:val="single" w:sz="4" w:space="0" w:color="auto"/>
              <w:bottom w:val="nil"/>
              <w:right w:val="nil"/>
            </w:tcBorders>
            <w:shd w:val="clear" w:color="D9D9D9" w:fill="D9D9D9"/>
            <w:noWrap/>
            <w:vAlign w:val="center"/>
            <w:hideMark/>
          </w:tcPr>
          <w:p w14:paraId="0EF68D07"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0.021</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238D0229"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12</w:t>
            </w:r>
          </w:p>
        </w:tc>
      </w:tr>
      <w:tr w:rsidR="00352E51" w:rsidRPr="00352E51" w14:paraId="4E385ECF"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44A63976"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auto" w:fill="auto"/>
            <w:noWrap/>
            <w:vAlign w:val="center"/>
            <w:hideMark/>
          </w:tcPr>
          <w:p w14:paraId="37F73983"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ngo_employment</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226621AC"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800" w:type="dxa"/>
            <w:tcBorders>
              <w:top w:val="single" w:sz="4" w:space="0" w:color="auto"/>
              <w:left w:val="single" w:sz="4" w:space="0" w:color="auto"/>
              <w:bottom w:val="nil"/>
              <w:right w:val="nil"/>
            </w:tcBorders>
            <w:shd w:val="clear" w:color="auto" w:fill="auto"/>
            <w:noWrap/>
            <w:vAlign w:val="center"/>
            <w:hideMark/>
          </w:tcPr>
          <w:p w14:paraId="4326771C"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32%</w:t>
            </w:r>
          </w:p>
        </w:tc>
        <w:tc>
          <w:tcPr>
            <w:tcW w:w="580" w:type="dxa"/>
            <w:tcBorders>
              <w:top w:val="single" w:sz="4" w:space="0" w:color="auto"/>
              <w:left w:val="single" w:sz="4" w:space="0" w:color="auto"/>
              <w:bottom w:val="nil"/>
              <w:right w:val="nil"/>
            </w:tcBorders>
            <w:shd w:val="clear" w:color="auto" w:fill="auto"/>
            <w:noWrap/>
            <w:vAlign w:val="center"/>
            <w:hideMark/>
          </w:tcPr>
          <w:p w14:paraId="35B44CC8"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0.001</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60F265CD"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9</w:t>
            </w:r>
          </w:p>
        </w:tc>
      </w:tr>
      <w:tr w:rsidR="00352E51" w:rsidRPr="00352E51" w14:paraId="34CC49C0"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639A1645"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D9D9D9" w:fill="D9D9D9"/>
            <w:noWrap/>
            <w:vAlign w:val="center"/>
            <w:hideMark/>
          </w:tcPr>
          <w:p w14:paraId="29554490"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ngo_good_opinion</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47340694"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6%</w:t>
            </w:r>
          </w:p>
        </w:tc>
        <w:tc>
          <w:tcPr>
            <w:tcW w:w="800" w:type="dxa"/>
            <w:tcBorders>
              <w:top w:val="single" w:sz="4" w:space="0" w:color="auto"/>
              <w:left w:val="single" w:sz="4" w:space="0" w:color="auto"/>
              <w:bottom w:val="nil"/>
              <w:right w:val="nil"/>
            </w:tcBorders>
            <w:shd w:val="clear" w:color="D9D9D9" w:fill="D9D9D9"/>
            <w:noWrap/>
            <w:vAlign w:val="center"/>
            <w:hideMark/>
          </w:tcPr>
          <w:p w14:paraId="31ED336F"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68%</w:t>
            </w:r>
          </w:p>
        </w:tc>
        <w:tc>
          <w:tcPr>
            <w:tcW w:w="580" w:type="dxa"/>
            <w:tcBorders>
              <w:top w:val="single" w:sz="4" w:space="0" w:color="auto"/>
              <w:left w:val="single" w:sz="4" w:space="0" w:color="auto"/>
              <w:bottom w:val="nil"/>
              <w:right w:val="nil"/>
            </w:tcBorders>
            <w:shd w:val="clear" w:color="D9D9D9" w:fill="D9D9D9"/>
            <w:noWrap/>
            <w:vAlign w:val="center"/>
            <w:hideMark/>
          </w:tcPr>
          <w:p w14:paraId="73DAF0BA"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0.000</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315213BF"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19</w:t>
            </w:r>
          </w:p>
        </w:tc>
      </w:tr>
      <w:tr w:rsidR="00352E51" w:rsidRPr="00352E51" w14:paraId="3107533C"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1C36098B"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auto" w:fill="auto"/>
            <w:noWrap/>
            <w:vAlign w:val="center"/>
            <w:hideMark/>
          </w:tcPr>
          <w:p w14:paraId="6018D536"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ngo_help</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33B86FE7"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800" w:type="dxa"/>
            <w:tcBorders>
              <w:top w:val="single" w:sz="4" w:space="0" w:color="auto"/>
              <w:left w:val="single" w:sz="4" w:space="0" w:color="auto"/>
              <w:bottom w:val="nil"/>
              <w:right w:val="nil"/>
            </w:tcBorders>
            <w:shd w:val="clear" w:color="auto" w:fill="auto"/>
            <w:noWrap/>
            <w:vAlign w:val="center"/>
            <w:hideMark/>
          </w:tcPr>
          <w:p w14:paraId="45A9D15A"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59%</w:t>
            </w:r>
          </w:p>
        </w:tc>
        <w:tc>
          <w:tcPr>
            <w:tcW w:w="580" w:type="dxa"/>
            <w:tcBorders>
              <w:top w:val="single" w:sz="4" w:space="0" w:color="auto"/>
              <w:left w:val="single" w:sz="4" w:space="0" w:color="auto"/>
              <w:bottom w:val="nil"/>
              <w:right w:val="nil"/>
            </w:tcBorders>
            <w:shd w:val="clear" w:color="auto" w:fill="auto"/>
            <w:noWrap/>
            <w:vAlign w:val="center"/>
            <w:hideMark/>
          </w:tcPr>
          <w:p w14:paraId="1ED13AC5"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0.000</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5BC85F92"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15</w:t>
            </w:r>
          </w:p>
        </w:tc>
      </w:tr>
      <w:tr w:rsidR="00352E51" w:rsidRPr="00352E51" w14:paraId="2163DDB5"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0110ED8E"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D9D9D9" w:fill="D9D9D9"/>
            <w:noWrap/>
            <w:vAlign w:val="center"/>
            <w:hideMark/>
          </w:tcPr>
          <w:p w14:paraId="01762261"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ngo_mpa</w:t>
            </w:r>
            <w:proofErr w:type="spellEnd"/>
          </w:p>
        </w:tc>
        <w:tc>
          <w:tcPr>
            <w:tcW w:w="1040" w:type="dxa"/>
            <w:tcBorders>
              <w:top w:val="single" w:sz="4" w:space="0" w:color="auto"/>
              <w:left w:val="single" w:sz="4" w:space="0" w:color="auto"/>
              <w:bottom w:val="nil"/>
              <w:right w:val="nil"/>
            </w:tcBorders>
            <w:shd w:val="clear" w:color="D9D9D9" w:fill="D9D9D9"/>
            <w:noWrap/>
            <w:vAlign w:val="center"/>
            <w:hideMark/>
          </w:tcPr>
          <w:p w14:paraId="2C1182C9"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800" w:type="dxa"/>
            <w:tcBorders>
              <w:top w:val="single" w:sz="4" w:space="0" w:color="auto"/>
              <w:left w:val="single" w:sz="4" w:space="0" w:color="auto"/>
              <w:bottom w:val="nil"/>
              <w:right w:val="nil"/>
            </w:tcBorders>
            <w:shd w:val="clear" w:color="D9D9D9" w:fill="D9D9D9"/>
            <w:noWrap/>
            <w:vAlign w:val="center"/>
            <w:hideMark/>
          </w:tcPr>
          <w:p w14:paraId="36D32A0E"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23%</w:t>
            </w:r>
          </w:p>
        </w:tc>
        <w:tc>
          <w:tcPr>
            <w:tcW w:w="580" w:type="dxa"/>
            <w:tcBorders>
              <w:top w:val="single" w:sz="4" w:space="0" w:color="auto"/>
              <w:left w:val="single" w:sz="4" w:space="0" w:color="auto"/>
              <w:bottom w:val="nil"/>
              <w:right w:val="nil"/>
            </w:tcBorders>
            <w:shd w:val="clear" w:color="D9D9D9" w:fill="D9D9D9"/>
            <w:noWrap/>
            <w:vAlign w:val="center"/>
            <w:hideMark/>
          </w:tcPr>
          <w:p w14:paraId="5E011BC9"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0.012</w:t>
            </w:r>
          </w:p>
        </w:tc>
        <w:tc>
          <w:tcPr>
            <w:tcW w:w="920" w:type="dxa"/>
            <w:tcBorders>
              <w:top w:val="single" w:sz="4" w:space="0" w:color="auto"/>
              <w:left w:val="single" w:sz="4" w:space="0" w:color="auto"/>
              <w:bottom w:val="nil"/>
              <w:right w:val="single" w:sz="4" w:space="0" w:color="auto"/>
            </w:tcBorders>
            <w:shd w:val="clear" w:color="D9D9D9" w:fill="D9D9D9"/>
            <w:noWrap/>
            <w:vAlign w:val="center"/>
            <w:hideMark/>
          </w:tcPr>
          <w:p w14:paraId="6B93D51E"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7</w:t>
            </w:r>
          </w:p>
        </w:tc>
      </w:tr>
      <w:tr w:rsidR="00352E51" w:rsidRPr="00352E51" w14:paraId="3968B828"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0F3D1B55"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nil"/>
              <w:right w:val="nil"/>
            </w:tcBorders>
            <w:shd w:val="clear" w:color="auto" w:fill="auto"/>
            <w:noWrap/>
            <w:vAlign w:val="center"/>
            <w:hideMark/>
          </w:tcPr>
          <w:p w14:paraId="364E56A9"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ngo_mpa_agree</w:t>
            </w:r>
            <w:proofErr w:type="spellEnd"/>
          </w:p>
        </w:tc>
        <w:tc>
          <w:tcPr>
            <w:tcW w:w="1040" w:type="dxa"/>
            <w:tcBorders>
              <w:top w:val="single" w:sz="4" w:space="0" w:color="auto"/>
              <w:left w:val="single" w:sz="4" w:space="0" w:color="auto"/>
              <w:bottom w:val="nil"/>
              <w:right w:val="nil"/>
            </w:tcBorders>
            <w:shd w:val="clear" w:color="auto" w:fill="auto"/>
            <w:noWrap/>
            <w:vAlign w:val="center"/>
            <w:hideMark/>
          </w:tcPr>
          <w:p w14:paraId="765F4F82"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3%</w:t>
            </w:r>
          </w:p>
        </w:tc>
        <w:tc>
          <w:tcPr>
            <w:tcW w:w="800" w:type="dxa"/>
            <w:tcBorders>
              <w:top w:val="single" w:sz="4" w:space="0" w:color="auto"/>
              <w:left w:val="single" w:sz="4" w:space="0" w:color="auto"/>
              <w:bottom w:val="nil"/>
              <w:right w:val="nil"/>
            </w:tcBorders>
            <w:shd w:val="clear" w:color="auto" w:fill="auto"/>
            <w:noWrap/>
            <w:vAlign w:val="center"/>
            <w:hideMark/>
          </w:tcPr>
          <w:p w14:paraId="417A1E52"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82%</w:t>
            </w:r>
          </w:p>
        </w:tc>
        <w:tc>
          <w:tcPr>
            <w:tcW w:w="580" w:type="dxa"/>
            <w:tcBorders>
              <w:top w:val="single" w:sz="4" w:space="0" w:color="auto"/>
              <w:left w:val="single" w:sz="4" w:space="0" w:color="auto"/>
              <w:bottom w:val="nil"/>
              <w:right w:val="nil"/>
            </w:tcBorders>
            <w:shd w:val="clear" w:color="auto" w:fill="auto"/>
            <w:noWrap/>
            <w:vAlign w:val="center"/>
            <w:hideMark/>
          </w:tcPr>
          <w:p w14:paraId="04E9FF71"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0.000</w:t>
            </w:r>
          </w:p>
        </w:tc>
        <w:tc>
          <w:tcPr>
            <w:tcW w:w="920" w:type="dxa"/>
            <w:tcBorders>
              <w:top w:val="single" w:sz="4" w:space="0" w:color="auto"/>
              <w:left w:val="single" w:sz="4" w:space="0" w:color="auto"/>
              <w:bottom w:val="nil"/>
              <w:right w:val="single" w:sz="4" w:space="0" w:color="auto"/>
            </w:tcBorders>
            <w:shd w:val="clear" w:color="auto" w:fill="auto"/>
            <w:noWrap/>
            <w:vAlign w:val="center"/>
            <w:hideMark/>
          </w:tcPr>
          <w:p w14:paraId="1FF948C0"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22</w:t>
            </w:r>
          </w:p>
        </w:tc>
      </w:tr>
      <w:tr w:rsidR="00352E51" w:rsidRPr="00352E51" w14:paraId="719EEEA7" w14:textId="77777777" w:rsidTr="00352E51">
        <w:trPr>
          <w:trHeight w:val="290"/>
          <w:jc w:val="center"/>
        </w:trPr>
        <w:tc>
          <w:tcPr>
            <w:tcW w:w="680" w:type="dxa"/>
            <w:vMerge/>
            <w:tcBorders>
              <w:top w:val="nil"/>
              <w:left w:val="single" w:sz="4" w:space="0" w:color="auto"/>
              <w:bottom w:val="single" w:sz="4" w:space="0" w:color="000000"/>
              <w:right w:val="single" w:sz="4" w:space="0" w:color="auto"/>
            </w:tcBorders>
            <w:vAlign w:val="center"/>
            <w:hideMark/>
          </w:tcPr>
          <w:p w14:paraId="016D982C" w14:textId="77777777" w:rsidR="00352E51" w:rsidRPr="00352E51" w:rsidRDefault="00352E51" w:rsidP="00352E51">
            <w:pPr>
              <w:spacing w:after="0" w:line="240" w:lineRule="auto"/>
              <w:jc w:val="left"/>
              <w:rPr>
                <w:rFonts w:ascii="Calibri" w:eastAsia="Times New Roman" w:hAnsi="Calibri" w:cs="Calibri"/>
                <w:color w:val="000000"/>
                <w:sz w:val="16"/>
                <w:szCs w:val="16"/>
              </w:rPr>
            </w:pPr>
          </w:p>
        </w:tc>
        <w:tc>
          <w:tcPr>
            <w:tcW w:w="1960" w:type="dxa"/>
            <w:tcBorders>
              <w:top w:val="single" w:sz="4" w:space="0" w:color="auto"/>
              <w:left w:val="nil"/>
              <w:bottom w:val="single" w:sz="4" w:space="0" w:color="auto"/>
              <w:right w:val="nil"/>
            </w:tcBorders>
            <w:shd w:val="clear" w:color="D9D9D9" w:fill="D9D9D9"/>
            <w:noWrap/>
            <w:vAlign w:val="center"/>
            <w:hideMark/>
          </w:tcPr>
          <w:p w14:paraId="647387F4" w14:textId="77777777" w:rsidR="00352E51" w:rsidRPr="00352E51" w:rsidRDefault="00352E51" w:rsidP="00352E51">
            <w:pPr>
              <w:spacing w:after="0" w:line="240" w:lineRule="auto"/>
              <w:jc w:val="center"/>
              <w:rPr>
                <w:rFonts w:ascii="Calibri" w:eastAsia="Times New Roman" w:hAnsi="Calibri" w:cs="Calibri"/>
                <w:color w:val="000000"/>
                <w:sz w:val="16"/>
                <w:szCs w:val="16"/>
              </w:rPr>
            </w:pPr>
            <w:proofErr w:type="spellStart"/>
            <w:r w:rsidRPr="00352E51">
              <w:rPr>
                <w:rFonts w:ascii="Calibri" w:eastAsia="Times New Roman" w:hAnsi="Calibri" w:cs="Calibri"/>
                <w:color w:val="000000"/>
                <w:sz w:val="16"/>
                <w:szCs w:val="16"/>
              </w:rPr>
              <w:t>ngo_mpa_efficient</w:t>
            </w:r>
            <w:proofErr w:type="spellEnd"/>
          </w:p>
        </w:tc>
        <w:tc>
          <w:tcPr>
            <w:tcW w:w="1040" w:type="dxa"/>
            <w:tcBorders>
              <w:top w:val="single" w:sz="4" w:space="0" w:color="auto"/>
              <w:left w:val="single" w:sz="4" w:space="0" w:color="auto"/>
              <w:bottom w:val="single" w:sz="4" w:space="0" w:color="auto"/>
              <w:right w:val="nil"/>
            </w:tcBorders>
            <w:shd w:val="clear" w:color="D9D9D9" w:fill="D9D9D9"/>
            <w:noWrap/>
            <w:vAlign w:val="center"/>
            <w:hideMark/>
          </w:tcPr>
          <w:p w14:paraId="3F338FC8"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w:t>
            </w:r>
          </w:p>
        </w:tc>
        <w:tc>
          <w:tcPr>
            <w:tcW w:w="800" w:type="dxa"/>
            <w:tcBorders>
              <w:top w:val="single" w:sz="4" w:space="0" w:color="auto"/>
              <w:left w:val="single" w:sz="4" w:space="0" w:color="auto"/>
              <w:bottom w:val="single" w:sz="4" w:space="0" w:color="auto"/>
              <w:right w:val="nil"/>
            </w:tcBorders>
            <w:shd w:val="clear" w:color="D9D9D9" w:fill="D9D9D9"/>
            <w:noWrap/>
            <w:vAlign w:val="center"/>
            <w:hideMark/>
          </w:tcPr>
          <w:p w14:paraId="381FBF6D"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41%</w:t>
            </w:r>
          </w:p>
        </w:tc>
        <w:tc>
          <w:tcPr>
            <w:tcW w:w="580" w:type="dxa"/>
            <w:tcBorders>
              <w:top w:val="single" w:sz="4" w:space="0" w:color="auto"/>
              <w:left w:val="single" w:sz="4" w:space="0" w:color="auto"/>
              <w:bottom w:val="single" w:sz="4" w:space="0" w:color="auto"/>
              <w:right w:val="nil"/>
            </w:tcBorders>
            <w:shd w:val="clear" w:color="D9D9D9" w:fill="D9D9D9"/>
            <w:noWrap/>
            <w:vAlign w:val="center"/>
            <w:hideMark/>
          </w:tcPr>
          <w:p w14:paraId="34FF9549"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0.000</w:t>
            </w:r>
          </w:p>
        </w:tc>
        <w:tc>
          <w:tcPr>
            <w:tcW w:w="9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C0EDF72" w14:textId="77777777" w:rsidR="00352E51" w:rsidRPr="00352E51" w:rsidRDefault="00352E51" w:rsidP="00352E51">
            <w:pPr>
              <w:spacing w:after="0" w:line="240" w:lineRule="auto"/>
              <w:jc w:val="center"/>
              <w:rPr>
                <w:rFonts w:ascii="Calibri" w:eastAsia="Times New Roman" w:hAnsi="Calibri" w:cs="Calibri"/>
                <w:color w:val="000000"/>
                <w:sz w:val="16"/>
                <w:szCs w:val="16"/>
              </w:rPr>
            </w:pPr>
            <w:r w:rsidRPr="00352E51">
              <w:rPr>
                <w:rFonts w:ascii="Calibri" w:eastAsia="Times New Roman" w:hAnsi="Calibri" w:cs="Calibri"/>
                <w:color w:val="000000"/>
                <w:sz w:val="16"/>
                <w:szCs w:val="16"/>
              </w:rPr>
              <w:t>10</w:t>
            </w:r>
          </w:p>
        </w:tc>
      </w:tr>
    </w:tbl>
    <w:p w14:paraId="749C2902" w14:textId="5AF58C4A" w:rsidR="00352E51" w:rsidRPr="00352E51" w:rsidRDefault="00352E51" w:rsidP="00A076EC">
      <w:pPr>
        <w:rPr>
          <w:i/>
          <w:iCs/>
        </w:rPr>
      </w:pPr>
      <w:r w:rsidRPr="00352E51">
        <w:rPr>
          <w:i/>
          <w:iCs/>
        </w:rPr>
        <w:t>Table 2. Summary of</w:t>
      </w:r>
      <w:r w:rsidR="002A24D7">
        <w:rPr>
          <w:i/>
          <w:iCs/>
        </w:rPr>
        <w:t xml:space="preserve"> all the</w:t>
      </w:r>
      <w:r w:rsidRPr="00352E51">
        <w:rPr>
          <w:i/>
          <w:iCs/>
        </w:rPr>
        <w:t xml:space="preserve"> perception</w:t>
      </w:r>
      <w:r w:rsidR="002A24D7">
        <w:rPr>
          <w:i/>
          <w:iCs/>
        </w:rPr>
        <w:t>s</w:t>
      </w:r>
      <w:r w:rsidRPr="00352E51">
        <w:rPr>
          <w:i/>
          <w:iCs/>
        </w:rPr>
        <w:t xml:space="preserve"> with a significant difference among the two groups studied. “Control</w:t>
      </w:r>
      <w:r w:rsidR="002B278E">
        <w:rPr>
          <w:i/>
          <w:iCs/>
        </w:rPr>
        <w:t xml:space="preserve">” villages </w:t>
      </w:r>
      <w:r w:rsidRPr="00352E51">
        <w:rPr>
          <w:i/>
          <w:iCs/>
        </w:rPr>
        <w:t xml:space="preserve">include Batas, Mabini and </w:t>
      </w:r>
      <w:proofErr w:type="spellStart"/>
      <w:r w:rsidRPr="00352E51">
        <w:rPr>
          <w:i/>
          <w:iCs/>
        </w:rPr>
        <w:t>Silanga</w:t>
      </w:r>
      <w:proofErr w:type="spellEnd"/>
      <w:r w:rsidRPr="00352E51">
        <w:rPr>
          <w:i/>
          <w:iCs/>
        </w:rPr>
        <w:t>, where SEF has not undertaken actions. “Test</w:t>
      </w:r>
      <w:r w:rsidR="002B278E">
        <w:rPr>
          <w:i/>
          <w:iCs/>
        </w:rPr>
        <w:t xml:space="preserve">” villages </w:t>
      </w:r>
      <w:r w:rsidRPr="00352E51">
        <w:rPr>
          <w:i/>
          <w:iCs/>
        </w:rPr>
        <w:t>include</w:t>
      </w:r>
      <w:r w:rsidR="002B278E">
        <w:rPr>
          <w:i/>
          <w:iCs/>
        </w:rPr>
        <w:t xml:space="preserve"> </w:t>
      </w:r>
      <w:proofErr w:type="spellStart"/>
      <w:r w:rsidRPr="00352E51">
        <w:rPr>
          <w:i/>
          <w:iCs/>
        </w:rPr>
        <w:t>Depla</w:t>
      </w:r>
      <w:proofErr w:type="spellEnd"/>
      <w:r w:rsidRPr="00352E51">
        <w:rPr>
          <w:i/>
          <w:iCs/>
        </w:rPr>
        <w:t xml:space="preserve"> and Sandoval where SEF has undertaken actions. </w:t>
      </w:r>
    </w:p>
    <w:p w14:paraId="59399D1B" w14:textId="592AE14E" w:rsidR="00352E51" w:rsidRDefault="002A24D7" w:rsidP="00A076EC">
      <w:r>
        <w:rPr>
          <w:i/>
          <w:iCs/>
          <w:noProof/>
        </w:rPr>
        <w:drawing>
          <wp:inline distT="0" distB="0" distL="0" distR="0" wp14:anchorId="28EF4432" wp14:editId="691B58CF">
            <wp:extent cx="5759450" cy="35877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587750"/>
                    </a:xfrm>
                    <a:prstGeom prst="rect">
                      <a:avLst/>
                    </a:prstGeom>
                    <a:noFill/>
                    <a:ln>
                      <a:noFill/>
                    </a:ln>
                  </pic:spPr>
                </pic:pic>
              </a:graphicData>
            </a:graphic>
          </wp:inline>
        </w:drawing>
      </w:r>
    </w:p>
    <w:p w14:paraId="1127C073" w14:textId="00176198" w:rsidR="00352E51" w:rsidRDefault="00F57EFC" w:rsidP="00A076EC">
      <w:pPr>
        <w:rPr>
          <w:i/>
          <w:iCs/>
        </w:rPr>
      </w:pPr>
      <w:r w:rsidRPr="00F57EFC">
        <w:rPr>
          <w:i/>
          <w:iCs/>
        </w:rPr>
        <w:t xml:space="preserve">Fig </w:t>
      </w:r>
      <w:r w:rsidR="00CD78AF">
        <w:rPr>
          <w:i/>
          <w:iCs/>
        </w:rPr>
        <w:t>5</w:t>
      </w:r>
      <w:r w:rsidRPr="00F57EFC">
        <w:rPr>
          <w:i/>
          <w:iCs/>
        </w:rPr>
        <w:t xml:space="preserve">. </w:t>
      </w:r>
      <w:proofErr w:type="spellStart"/>
      <w:r w:rsidR="002A24D7">
        <w:rPr>
          <w:i/>
          <w:iCs/>
        </w:rPr>
        <w:t>Barplot</w:t>
      </w:r>
      <w:proofErr w:type="spellEnd"/>
      <w:r w:rsidR="002A24D7">
        <w:rPr>
          <w:i/>
          <w:iCs/>
        </w:rPr>
        <w:t xml:space="preserve"> representing the answers given by at least 20 people, the repartition among groups, and the significance of the difference observed based on chi-2 tests (* = p&lt;0.1, ** = p&lt;0.05, *** = p&lt;0.01). Most of these common answers are more frequent for the test groups which can be explained in two </w:t>
      </w:r>
      <w:r w:rsidR="002A24D7">
        <w:rPr>
          <w:i/>
          <w:iCs/>
        </w:rPr>
        <w:lastRenderedPageBreak/>
        <w:t>ways. First, test group respondents gave more answers on average (the average degree of nodes is significantly superior, based on a Student t-test). Second, answers were still heterogenous among respondents from test group</w:t>
      </w:r>
      <w:r w:rsidR="00E64B71">
        <w:rPr>
          <w:i/>
          <w:iCs/>
        </w:rPr>
        <w:t>, as showed by diversity indices.</w:t>
      </w:r>
    </w:p>
    <w:p w14:paraId="1C07B11A" w14:textId="1DC6698D" w:rsidR="00CD78AF" w:rsidRDefault="00CD78AF" w:rsidP="00CD78AF">
      <w:pPr>
        <w:jc w:val="center"/>
        <w:rPr>
          <w:i/>
          <w:iCs/>
        </w:rPr>
      </w:pPr>
      <w:r>
        <w:rPr>
          <w:i/>
          <w:iCs/>
          <w:noProof/>
        </w:rPr>
        <w:drawing>
          <wp:inline distT="0" distB="0" distL="0" distR="0" wp14:anchorId="144ED86A" wp14:editId="73ABB833">
            <wp:extent cx="5753100" cy="47053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4705350"/>
                    </a:xfrm>
                    <a:prstGeom prst="rect">
                      <a:avLst/>
                    </a:prstGeom>
                    <a:noFill/>
                    <a:ln>
                      <a:noFill/>
                    </a:ln>
                  </pic:spPr>
                </pic:pic>
              </a:graphicData>
            </a:graphic>
          </wp:inline>
        </w:drawing>
      </w:r>
    </w:p>
    <w:p w14:paraId="2A1BD8E4" w14:textId="201E72A1" w:rsidR="00CD78AF" w:rsidRDefault="00CD78AF" w:rsidP="00A076EC">
      <w:pPr>
        <w:rPr>
          <w:i/>
          <w:iCs/>
        </w:rPr>
      </w:pPr>
      <w:r>
        <w:rPr>
          <w:i/>
          <w:iCs/>
        </w:rPr>
        <w:t>Fig 6. Bipartite projection of answers showing three different communities detected that correspond to the repartition of answers between the two groups we study.</w:t>
      </w:r>
    </w:p>
    <w:p w14:paraId="77F2FBF2" w14:textId="35A001E5" w:rsidR="00352E51" w:rsidRDefault="00352E51" w:rsidP="00A076EC"/>
    <w:p w14:paraId="75FECBEE" w14:textId="1610B23C" w:rsidR="002B278E" w:rsidRPr="00D97972" w:rsidRDefault="002B278E" w:rsidP="002B278E">
      <w:pPr>
        <w:rPr>
          <w:color w:val="A5A5A5" w:themeColor="accent3"/>
        </w:rPr>
      </w:pPr>
      <w:r w:rsidRPr="00D97972">
        <w:rPr>
          <w:color w:val="A5A5A5" w:themeColor="accent3"/>
        </w:rPr>
        <w:t>/</w:t>
      </w:r>
      <w:r>
        <w:rPr>
          <w:color w:val="A5A5A5" w:themeColor="accent3"/>
        </w:rPr>
        <w:t>3.4 Testing the diversity of answers among groups</w:t>
      </w:r>
      <w:r w:rsidR="006603A6">
        <w:rPr>
          <w:color w:val="A5A5A5" w:themeColor="accent3"/>
        </w:rPr>
        <w:t xml:space="preserve">: homogenization of </w:t>
      </w:r>
      <w:proofErr w:type="gramStart"/>
      <w:r w:rsidR="006603A6">
        <w:rPr>
          <w:color w:val="A5A5A5" w:themeColor="accent3"/>
        </w:rPr>
        <w:t>perceptions?</w:t>
      </w:r>
      <w:r w:rsidR="006603A6" w:rsidRPr="00D97972">
        <w:rPr>
          <w:color w:val="A5A5A5" w:themeColor="accent3"/>
        </w:rPr>
        <w:t>/</w:t>
      </w:r>
      <w:proofErr w:type="gramEnd"/>
    </w:p>
    <w:p w14:paraId="212744CF" w14:textId="4011CCEC" w:rsidR="006603A6" w:rsidRDefault="006603A6" w:rsidP="002B278E">
      <w:pPr>
        <w:pStyle w:val="Paragraphedeliste"/>
        <w:numPr>
          <w:ilvl w:val="0"/>
          <w:numId w:val="3"/>
        </w:numPr>
      </w:pPr>
      <w:r>
        <w:t>People in “test” villages have been more talkative, and each individual gave more answers on average (</w:t>
      </w:r>
      <w:r w:rsidRPr="006603A6">
        <w:rPr>
          <w:highlight w:val="yellow"/>
        </w:rPr>
        <w:t>mean</w:t>
      </w:r>
      <w:r>
        <w:rPr>
          <w:highlight w:val="yellow"/>
        </w:rPr>
        <w:t xml:space="preserve"> degree</w:t>
      </w:r>
      <w:r w:rsidRPr="006603A6">
        <w:rPr>
          <w:highlight w:val="yellow"/>
        </w:rPr>
        <w:t>, and result from t-test</w:t>
      </w:r>
      <w:r>
        <w:t>). While taking this fact into consideration, we want to understand the relative homogeneity of perceptions between the two groups, and a way to do so</w:t>
      </w:r>
      <w:r w:rsidR="00976592">
        <w:t xml:space="preserve"> is to study how diverse the answers given by each participant are.</w:t>
      </w:r>
    </w:p>
    <w:p w14:paraId="05EF4EB5" w14:textId="07307D88" w:rsidR="00976592" w:rsidRDefault="00976592" w:rsidP="002B278E">
      <w:pPr>
        <w:pStyle w:val="Paragraphedeliste"/>
        <w:numPr>
          <w:ilvl w:val="0"/>
          <w:numId w:val="3"/>
        </w:numPr>
      </w:pPr>
      <w:r>
        <w:t>We are analyzing answers as individual species present in two distinct ecosystems, and the number of times this answer was given as abundances.</w:t>
      </w:r>
    </w:p>
    <w:p w14:paraId="56758867" w14:textId="0ACF652A" w:rsidR="002B278E" w:rsidRDefault="002B278E" w:rsidP="002B278E">
      <w:pPr>
        <w:pStyle w:val="Paragraphedeliste"/>
        <w:numPr>
          <w:ilvl w:val="0"/>
          <w:numId w:val="3"/>
        </w:numPr>
      </w:pPr>
      <w:r>
        <w:t xml:space="preserve">Total number of </w:t>
      </w:r>
      <w:r w:rsidR="006603A6">
        <w:t>perceptions</w:t>
      </w:r>
      <w:r>
        <w:t xml:space="preserve"> for “test” villages is 105. For “control” villages, it is 119. But the sample size is bigger for “control” villages</w:t>
      </w:r>
      <w:r w:rsidR="006603A6">
        <w:t xml:space="preserve">, justifying </w:t>
      </w:r>
      <w:r w:rsidR="00976592">
        <w:t>analyses using</w:t>
      </w:r>
      <w:r w:rsidR="006603A6">
        <w:t xml:space="preserve"> diversity indices</w:t>
      </w:r>
      <w:r>
        <w:t>.</w:t>
      </w:r>
    </w:p>
    <w:p w14:paraId="7931BF74" w14:textId="4D60D75F" w:rsidR="002B278E" w:rsidRDefault="002B278E" w:rsidP="00A076EC">
      <w:pPr>
        <w:pStyle w:val="Paragraphedeliste"/>
        <w:numPr>
          <w:ilvl w:val="0"/>
          <w:numId w:val="3"/>
        </w:numPr>
      </w:pPr>
      <w:r>
        <w:t xml:space="preserve">Shannon diversity index gives 4.23 for “test” villages, and 4.30 for “control” villages, and </w:t>
      </w:r>
      <w:r w:rsidR="006603A6">
        <w:t>S</w:t>
      </w:r>
      <w:r>
        <w:t>impson diversity index gives 0.9806 and 0.9810. Diversity of answers is hence slightly higher in control villages which could indicate</w:t>
      </w:r>
      <w:r w:rsidR="006603A6">
        <w:t xml:space="preserve"> there</w:t>
      </w:r>
      <w:r>
        <w:t xml:space="preserve"> a relatively </w:t>
      </w:r>
      <w:r w:rsidR="006603A6">
        <w:t>less</w:t>
      </w:r>
      <w:r>
        <w:t xml:space="preserve"> homogenous discourse, or just as diverse</w:t>
      </w:r>
      <w:r w:rsidR="00920C05">
        <w:t xml:space="preserve"> despite the fact that people from “test” villages give more answers on average.</w:t>
      </w:r>
    </w:p>
    <w:p w14:paraId="371AB1B4" w14:textId="1CC7FC23" w:rsidR="001F34DE" w:rsidRDefault="001F34DE" w:rsidP="00A076EC"/>
    <w:p w14:paraId="60504489" w14:textId="5FB0A9F0" w:rsidR="001F34DE" w:rsidRPr="00D97972" w:rsidRDefault="001F34DE" w:rsidP="001F34DE">
      <w:pPr>
        <w:rPr>
          <w:color w:val="A5A5A5" w:themeColor="accent3"/>
        </w:rPr>
      </w:pPr>
      <w:r w:rsidRPr="00D97972">
        <w:rPr>
          <w:color w:val="A5A5A5" w:themeColor="accent3"/>
        </w:rPr>
        <w:t>/</w:t>
      </w:r>
      <w:r>
        <w:rPr>
          <w:color w:val="A5A5A5" w:themeColor="accent3"/>
        </w:rPr>
        <w:t>3.5 Text mining and semantic analyses</w:t>
      </w:r>
      <w:r w:rsidRPr="00D97972">
        <w:rPr>
          <w:color w:val="A5A5A5" w:themeColor="accent3"/>
        </w:rPr>
        <w:t>/</w:t>
      </w:r>
    </w:p>
    <w:p w14:paraId="3F209711" w14:textId="05D80E70" w:rsidR="001F34DE" w:rsidRDefault="003D7967" w:rsidP="003D7967">
      <w:pPr>
        <w:jc w:val="center"/>
      </w:pPr>
      <w:r>
        <w:rPr>
          <w:noProof/>
        </w:rPr>
        <w:drawing>
          <wp:inline distT="0" distB="0" distL="0" distR="0" wp14:anchorId="7FDB7E4D" wp14:editId="399200CB">
            <wp:extent cx="3583859" cy="2914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7338" cy="2933744"/>
                    </a:xfrm>
                    <a:prstGeom prst="rect">
                      <a:avLst/>
                    </a:prstGeom>
                    <a:noFill/>
                    <a:ln>
                      <a:noFill/>
                    </a:ln>
                  </pic:spPr>
                </pic:pic>
              </a:graphicData>
            </a:graphic>
          </wp:inline>
        </w:drawing>
      </w:r>
    </w:p>
    <w:p w14:paraId="0C60C6C9" w14:textId="3D5CD1A6" w:rsidR="0026332C" w:rsidRPr="0026332C" w:rsidRDefault="003D7967" w:rsidP="0026332C">
      <w:pPr>
        <w:jc w:val="center"/>
        <w:rPr>
          <w:i/>
          <w:iCs/>
        </w:rPr>
      </w:pPr>
      <w:r w:rsidRPr="0026332C">
        <w:rPr>
          <w:i/>
          <w:iCs/>
        </w:rPr>
        <w:t xml:space="preserve">Fig </w:t>
      </w:r>
      <w:r w:rsidR="00CD78AF">
        <w:rPr>
          <w:i/>
          <w:iCs/>
        </w:rPr>
        <w:t>7</w:t>
      </w:r>
      <w:r w:rsidRPr="0026332C">
        <w:rPr>
          <w:i/>
          <w:iCs/>
        </w:rPr>
        <w:t xml:space="preserve">. </w:t>
      </w:r>
      <w:proofErr w:type="spellStart"/>
      <w:r w:rsidR="0026332C" w:rsidRPr="0026332C">
        <w:rPr>
          <w:i/>
          <w:iCs/>
        </w:rPr>
        <w:t>Wordcloud</w:t>
      </w:r>
      <w:proofErr w:type="spellEnd"/>
      <w:r w:rsidR="0026332C" w:rsidRPr="0026332C">
        <w:rPr>
          <w:i/>
          <w:iCs/>
        </w:rPr>
        <w:t xml:space="preserve"> of the most common words used by respondents during interviews.</w:t>
      </w:r>
    </w:p>
    <w:p w14:paraId="6A531FAA" w14:textId="390EEB2C" w:rsidR="001F34DE" w:rsidRDefault="001F34DE" w:rsidP="001F34DE">
      <w:pPr>
        <w:jc w:val="center"/>
      </w:pPr>
      <w:r>
        <w:rPr>
          <w:noProof/>
        </w:rPr>
        <w:drawing>
          <wp:inline distT="0" distB="0" distL="0" distR="0" wp14:anchorId="7238BDF9" wp14:editId="5C8D7002">
            <wp:extent cx="4051300" cy="438785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097" t="9911" r="13561" b="13987"/>
                    <a:stretch/>
                  </pic:blipFill>
                  <pic:spPr bwMode="auto">
                    <a:xfrm>
                      <a:off x="0" y="0"/>
                      <a:ext cx="4051300" cy="4387850"/>
                    </a:xfrm>
                    <a:prstGeom prst="rect">
                      <a:avLst/>
                    </a:prstGeom>
                    <a:noFill/>
                    <a:ln>
                      <a:noFill/>
                    </a:ln>
                    <a:extLst>
                      <a:ext uri="{53640926-AAD7-44D8-BBD7-CCE9431645EC}">
                        <a14:shadowObscured xmlns:a14="http://schemas.microsoft.com/office/drawing/2010/main"/>
                      </a:ext>
                    </a:extLst>
                  </pic:spPr>
                </pic:pic>
              </a:graphicData>
            </a:graphic>
          </wp:inline>
        </w:drawing>
      </w:r>
    </w:p>
    <w:p w14:paraId="183E98A8" w14:textId="13F8B5F5" w:rsidR="001F34DE" w:rsidRDefault="001F34DE" w:rsidP="001F34DE">
      <w:pPr>
        <w:jc w:val="center"/>
      </w:pPr>
    </w:p>
    <w:p w14:paraId="47693D9D" w14:textId="363974F9" w:rsidR="001F34DE" w:rsidRDefault="001F34DE" w:rsidP="001F34DE">
      <w:pPr>
        <w:jc w:val="center"/>
      </w:pPr>
      <w:r>
        <w:lastRenderedPageBreak/>
        <w:t xml:space="preserve">Fig </w:t>
      </w:r>
      <w:r w:rsidR="00CD78AF">
        <w:t>8</w:t>
      </w:r>
      <w:r>
        <w:t xml:space="preserve">. Semantic network showing the links between the words used by respondents. Computed using </w:t>
      </w:r>
      <w:proofErr w:type="spellStart"/>
      <w:r>
        <w:t>CorText</w:t>
      </w:r>
      <w:proofErr w:type="spellEnd"/>
      <w:r>
        <w:t xml:space="preserve"> V2 (</w:t>
      </w:r>
      <w:r w:rsidRPr="001F34DE">
        <w:rPr>
          <w:highlight w:val="yellow"/>
        </w:rPr>
        <w:t>ref</w:t>
      </w:r>
      <w:r>
        <w:t>).</w:t>
      </w:r>
    </w:p>
    <w:p w14:paraId="04763095" w14:textId="6022F5FA" w:rsidR="007E141E" w:rsidRDefault="007E141E" w:rsidP="007E141E">
      <w:pPr>
        <w:pStyle w:val="Titre2"/>
      </w:pPr>
      <w:r>
        <w:t>4. Discussion</w:t>
      </w:r>
    </w:p>
    <w:p w14:paraId="38436165" w14:textId="0BFC36E9" w:rsidR="007E141E" w:rsidRDefault="007E141E" w:rsidP="007E141E"/>
    <w:p w14:paraId="4B756FC5" w14:textId="294DEDBB" w:rsidR="005E24E8" w:rsidRDefault="003C1ECF" w:rsidP="005E24E8">
      <w:pPr>
        <w:pStyle w:val="Paragraphedeliste"/>
        <w:numPr>
          <w:ilvl w:val="0"/>
          <w:numId w:val="3"/>
        </w:numPr>
      </w:pPr>
      <w:r>
        <w:t xml:space="preserve">Are there perceptions that can be considered as promoting conservation? If yes, can we say </w:t>
      </w:r>
      <w:proofErr w:type="spellStart"/>
      <w:r>
        <w:t>Sulubaai</w:t>
      </w:r>
      <w:proofErr w:type="spellEnd"/>
      <w:r>
        <w:t xml:space="preserve"> has a positive impact? =&gt; A better informed and homogenous discourse can be considered to be beneficial for conservation measures. BUT there might be a gap between “official discourse” and actual actions. People’s answers can vary depending on the person asking questions. For example, in villages where illegal fishing seems more common, people talked less about it, and tended to consider more often that there are no environmental issues here.</w:t>
      </w:r>
    </w:p>
    <w:p w14:paraId="2DA5E1FF" w14:textId="771B4FDE" w:rsidR="00350769" w:rsidRDefault="00350769" w:rsidP="005E24E8">
      <w:pPr>
        <w:pStyle w:val="Paragraphedeliste"/>
        <w:numPr>
          <w:ilvl w:val="0"/>
          <w:numId w:val="3"/>
        </w:numPr>
      </w:pPr>
      <w:r>
        <w:t>But this bias was limited by going randomly to unknown people in all villages, whom had no direct interest in lying. + open-ended questions</w:t>
      </w:r>
    </w:p>
    <w:p w14:paraId="48D93F71" w14:textId="0221D693" w:rsidR="00391ACE" w:rsidRDefault="008C32E8" w:rsidP="005E24E8">
      <w:pPr>
        <w:pStyle w:val="Paragraphedeliste"/>
        <w:numPr>
          <w:ilvl w:val="0"/>
          <w:numId w:val="3"/>
        </w:numPr>
      </w:pPr>
      <w:r>
        <w:t>Risk of overstatement</w:t>
      </w:r>
      <w:r w:rsidR="00391ACE">
        <w:t xml:space="preserve"> of MPA’s efficiency can deceive people. For example, many respondents said the goal of MPAs is to protect corals, which is not clear in the scientific literature (but can be expected if MPAs diminish blast fishing; though the opposite has been observed in other MPAs close by).</w:t>
      </w:r>
      <w:r w:rsidR="008B671A">
        <w:t xml:space="preserve"> =&gt;</w:t>
      </w:r>
      <w:r w:rsidR="00317788">
        <w:t xml:space="preserve"> </w:t>
      </w:r>
      <w:r w:rsidR="00317788">
        <w:fldChar w:fldCharType="begin" w:fldLock="1"/>
      </w:r>
      <w:r w:rsidR="00317788">
        <w:instrText>ADDIN CSL_CITATION {"citationItems":[{"id":"ITEM-1","itemData":{"DOI":"10.1016/j.ocecoaman.2020.105120","ISSN":"09645691","abstract":"The evolution of marine protected areas (MPAs) in West Africa is reviewed through a survey of managers' perception carried on between 2017 and 2018 for the establishment of the baseline of MPAs of the Network of Marine Protected Areas of West Africa (RAMPAO). Managers report that all natural habitats are subject to surface area losses. The most affected habitats were beaches, mudflats and estuarine channels, caused by erosion and rainfall deficit. Seagrasses, rocky bottoms and coral reefs also seem to be affected, but as they are not monitored and as the managers' knowledge is poor toward these habitats, changes are not properly recorded. Despite some damages, coastal forests seem to be the only natural habitat that see positive changes, mainly due to regular reforestation activities. Comparing managers' perception to scientific papers using satellite imagery shows that their judgement is similar for some habitats (beaches and forests), although there are some differences between their perception and scientific analyses about mangroves changes and even between scientific analyses themselves. However, managers’ understanding of impacts coming from human activity and climate change is not strong enough. Consequently, these threats were impossible to quantify from this perception survey. Finally, there is a lack of GIS data within the MPAs.","author":[{"dropping-particle":"","family":"Failler","given":"Pierre","non-dropping-particle":"","parse-names":false,"suffix":""},{"dropping-particle":"","family":"Touron-Gardic","given":"Grégoire","non-dropping-particle":"","parse-names":false,"suffix":""},{"dropping-particle":"","family":"Sadio","given":"Oumar","non-dropping-particle":"","parse-names":false,"suffix":""},{"dropping-particle":"","family":"Traoré","given":"Marie Suzanne","non-dropping-particle":"","parse-names":false,"suffix":""}],"container-title":"Ocean and Coastal Management","id":"ITEM-1","issue":"February","issued":{"date-parts":[["2020"]]},"title":"Perception of natural habitat changes of West African marine protected areas","type":"article-journal","volume":"187"},"uris":["http://www.mendeley.com/documents/?uuid=8cc63c0a-5ee6-415a-8e9f-d98017670cb9"]}],"mendeley":{"formattedCitation":"(Failler, Touron-Gardic, Sadio, &amp; Traoré, 2020)","plainTextFormattedCitation":"(Failler, Touron-Gardic, Sadio, &amp; Traoré, 2020)","previouslyFormattedCitation":"(Failler, Touron-Gardic, Sadio, &amp; Traoré, 2020)"},"properties":{"noteIndex":0},"schema":"https://github.com/citation-style-language/schema/raw/master/csl-citation.json"}</w:instrText>
      </w:r>
      <w:r w:rsidR="00317788">
        <w:fldChar w:fldCharType="separate"/>
      </w:r>
      <w:r w:rsidR="00317788" w:rsidRPr="00317788">
        <w:rPr>
          <w:noProof/>
        </w:rPr>
        <w:t>(Failler, Touron-Gardic, Sadio, &amp; Traoré, 2020)</w:t>
      </w:r>
      <w:r w:rsidR="00317788">
        <w:fldChar w:fldCharType="end"/>
      </w:r>
      <w:r w:rsidR="00317788">
        <w:t>.</w:t>
      </w:r>
    </w:p>
    <w:p w14:paraId="626E1D7A" w14:textId="4A2D6B2D" w:rsidR="005E24E8" w:rsidRDefault="005E24E8" w:rsidP="005E24E8">
      <w:pPr>
        <w:pStyle w:val="Paragraphedeliste"/>
        <w:numPr>
          <w:ilvl w:val="0"/>
          <w:numId w:val="3"/>
        </w:numPr>
      </w:pPr>
      <w:r>
        <w:t xml:space="preserve">What we may have missed =&gt; relatively small sample, many trends are understandable but not significant. </w:t>
      </w:r>
    </w:p>
    <w:p w14:paraId="65D34C9A" w14:textId="0C6B888C" w:rsidR="007E141E" w:rsidRDefault="005E24E8" w:rsidP="005E24E8">
      <w:pPr>
        <w:pStyle w:val="Paragraphedeliste"/>
        <w:numPr>
          <w:ilvl w:val="0"/>
          <w:numId w:val="3"/>
        </w:numPr>
      </w:pPr>
      <w:r>
        <w:t>Opportunities for further research</w:t>
      </w:r>
      <w:r w:rsidR="003C1ECF">
        <w:t xml:space="preserve"> =&gt; social networks to study the collaborations for CBRM (</w:t>
      </w:r>
      <w:r w:rsidR="003C1ECF" w:rsidRPr="003C1ECF">
        <w:rPr>
          <w:highlight w:val="yellow"/>
        </w:rPr>
        <w:t xml:space="preserve">REF </w:t>
      </w:r>
      <w:proofErr w:type="spellStart"/>
      <w:r w:rsidR="003C1ECF" w:rsidRPr="003C1ECF">
        <w:rPr>
          <w:highlight w:val="yellow"/>
        </w:rPr>
        <w:t>Bödin</w:t>
      </w:r>
      <w:proofErr w:type="spellEnd"/>
      <w:r w:rsidR="003C1ECF" w:rsidRPr="003C1ECF">
        <w:rPr>
          <w:highlight w:val="yellow"/>
        </w:rPr>
        <w:t xml:space="preserve">, Barnes, </w:t>
      </w:r>
      <w:proofErr w:type="spellStart"/>
      <w:r w:rsidR="003C1ECF" w:rsidRPr="003C1ECF">
        <w:rPr>
          <w:highlight w:val="yellow"/>
        </w:rPr>
        <w:t>etc</w:t>
      </w:r>
      <w:proofErr w:type="spellEnd"/>
      <w:r w:rsidR="003C1ECF">
        <w:t>)</w:t>
      </w:r>
      <w:r w:rsidR="008B671A">
        <w:t xml:space="preserve"> ; study management outcome depending on the original perceptions (</w:t>
      </w:r>
      <w:r w:rsidR="008B671A" w:rsidRPr="008B671A">
        <w:rPr>
          <w:highlight w:val="yellow"/>
        </w:rPr>
        <w:t>REFs</w:t>
      </w:r>
      <w:r w:rsidR="008B671A">
        <w:t>) ; study changes in perception over time</w:t>
      </w:r>
      <w:r w:rsidR="00317788">
        <w:t xml:space="preserve"> </w:t>
      </w:r>
      <w:r w:rsidR="00317788">
        <w:fldChar w:fldCharType="begin" w:fldLock="1"/>
      </w:r>
      <w:r w:rsidR="00317788">
        <w:instrText>ADDIN CSL_CITATION {"citationItems":[{"id":"ITEM-1","itemData":{"DOI":"10.3389/fmars.2020.00242","author":[{"dropping-particle":"","family":"Pita","given":"Pablo","non-dropping-particle":"","parse-names":false,"suffix":""},{"dropping-particle":"","family":"Antelo","given":"Manel","non-dropping-particle":"","parse-names":false,"suffix":""},{"dropping-particle":"","family":"Hyder","given":"Kieran","non-dropping-particle":"","parse-names":false,"suffix":""},{"dropping-particle":"","family":"Vingada","given":"José","non-dropping-particle":"","parse-names":false,"suffix":""}],"id":"ITEM-1","issue":"April","issued":{"date-parts":[["2020"]]},"page":"1-14","title":"The Use of Recreational Fishers ’ Ecological Knowledge to Assess the Conservation Status of Marine Ecosystems","type":"article-journal","volume":"7"},"uris":["http://www.mendeley.com/documents/?uuid=b475d252-c768-4c95-aa2c-80d530924be8"]},{"id":"ITEM-2","itemData":{"DOI":"10.1016/j.marpol.2019.103665","ISSN":"0308597X","abstract":"Marine Protected Areas (MPAs) are potentially effective conservation and management instruments yet they often produce socioeconomic conflicts which may challenge their success. Knowledge and perceptions about environmental subjects among MPA residents were examined to identify possible effects of conservation policies upon local communities. Sharks were used as a proxy for wildlife given their local relevance and socioenvironmental context. Self-administered questionnaires were used to collect data from 134 randomly-selected residents of Fernando de Noronha (FEN), Brazil. Affinity towards nature tended to decrease among people &gt;44 years old, whereas &gt;10 years residents were more associated with negative feelings about sharks. Homogeneity in knowledge was noticed but perceptions decreased conspicuously across residence time-classes. Only 33% of respondents reported unarguable MPA benefits to local welfare, while several problems pertaining to infrastructure, management and resources were mentioned. These results are worrisome because they might translate into growing frustration along with residence time, which could potentially jeopardize the success of conservation policies. Wildlife conservation and at least partial improvements to welfare being positively signalized by a relevant proportion of respondents suggest an encouraging potential for relationship improvement between MPAs and stakeholders. Nonetheless, the long-term sustainability of inhabited MPAs could depend on properly integrating human users and ensuring their support and compliance, which must be considered while designing management strategies. Given the prestige of FEN in the South Atlantic and worldwide, it is important that this MPA delivers successful, sustainable outcomes that can be representative of efficient conservation trajectories to be replicated elsewhere.","author":[{"dropping-particle":"","family":"Afonso","given":"André S.","non-dropping-particle":"","parse-names":false,"suffix":""},{"dropping-particle":"","family":"Fidelis","given":"Leonardo L.","non-dropping-particle":"","parse-names":false,"suffix":""},{"dropping-particle":"","family":"Roque","given":"Pedro L.","non-dropping-particle":"","parse-names":false,"suffix":""},{"dropping-particle":"","family":"Galindo","given":"Renato","non-dropping-particle":"","parse-names":false,"suffix":""},{"dropping-particle":"","family":"Dionisio","given":"Wanderson","non-dropping-particle":"","parse-names":false,"suffix":""},{"dropping-particle":"","family":"Veras","given":"Leonardo B.","non-dropping-particle":"","parse-names":false,"suffix":""},{"dropping-particle":"","family":"Hazin","given":"Fábio H.V.","non-dropping-particle":"","parse-names":false,"suffix":""}],"container-title":"Marine Policy","id":"ITEM-2","issue":"January","issued":{"date-parts":[["2019"]]},"page":"103665","publisher":"Elsevier Ltd","title":"Public support for conservation may decay with increasing residence time in suboptimal marine protected areas","type":"article-journal","volume":"108"},"uris":["http://www.mendeley.com/documents/?uuid=5a640ba0-484e-4187-aac2-48b0f177d573"]}],"mendeley":{"formattedCitation":"(Afonso et al., 2019; Pita, Antelo, Hyder, &amp; Vingada, 2020)","plainTextFormattedCitation":"(Afonso et al., 2019; Pita, Antelo, Hyder, &amp; Vingada, 2020)","previouslyFormattedCitation":"(Afonso et al., 2019; Pita, Antelo, Hyder, &amp; Vingada, 2020)"},"properties":{"noteIndex":0},"schema":"https://github.com/citation-style-language/schema/raw/master/csl-citation.json"}</w:instrText>
      </w:r>
      <w:r w:rsidR="00317788">
        <w:fldChar w:fldCharType="separate"/>
      </w:r>
      <w:r w:rsidR="00317788" w:rsidRPr="00317788">
        <w:rPr>
          <w:noProof/>
        </w:rPr>
        <w:t>(Afonso et al., 2019; Pita, Antelo, Hyder, &amp; Vingada, 2020)</w:t>
      </w:r>
      <w:r w:rsidR="00317788">
        <w:fldChar w:fldCharType="end"/>
      </w:r>
      <w:r w:rsidR="004D20A6">
        <w:t xml:space="preserve"> </w:t>
      </w:r>
      <w:r w:rsidR="0033567F">
        <w:t>; study the perception of different groups, especially</w:t>
      </w:r>
      <w:r w:rsidR="002B352D">
        <w:t xml:space="preserve"> the</w:t>
      </w:r>
      <w:r w:rsidR="0033567F">
        <w:t xml:space="preserve"> perception of the youth</w:t>
      </w:r>
      <w:r w:rsidR="00317788">
        <w:t xml:space="preserve"> </w:t>
      </w:r>
      <w:r w:rsidR="00317788">
        <w:fldChar w:fldCharType="begin" w:fldLock="1"/>
      </w:r>
      <w:r w:rsidR="00317788">
        <w:instrText>ADDIN CSL_CITATION {"citationItems":[{"id":"ITEM-1","itemData":{"DOI":"10.1080/08920753.2019.1619902","ISSN":"15210421","abstract":"Young men in coastal Tanzania are often blamed for damaging marine habitats by engaging in unsustainable and destructive fishing practices, including dynamite fishing, but their perceptions have not been sufficiently documented. While marine scientists, international environmental NGOs, and activists have called attention to the destructive fishing practices’ devastating impacts, insights into the contextual factors that motivate those who engage in dynamite fishing are limited. Additionally, risk perceptions and concerns regarding the environmental impact and dangers of dynamite fishing among the youth are also understudied. This paper provides ethnographic insights into the historical and contextual factors underlying dynamite fishing in rural coastal Mtwara. It draws on ethnographic data gathered through participant observation, focus group discussions and in-depth interviews with residents from two neighboring coastal villages–one located inside a marine protected area (MPA), and another located outside the MPA’s boundary. The paper first examines the views of elderly men and women to provide the historical context of dynamite fishing in coastal Mtwara. It then juxtaposes youth perceptions regarding marine conservation and dynamite fishing in the two villages, vis-à-vis ongoing efforts to curb destructive fishing practices and to enhance marine biodiversity and ecotourism in the region. Results of the study reveal that unresolved tensions between the MPA authorities and local fishers surrounding enforcement practices and unfulfilled gear-exchange-related promises, and allegations of poor governance, are important contextual factors in the persistence of dynamite fishing. The paper concludes by articulating possible remedial measures to mitigate the tensions between youth concerns about their livelihoods, and the goals of marine biodiversity conservation as a way forward in preventing dynamite fishing.","author":[{"dropping-particle":"","family":"Kamat","given":"Vinay R.","non-dropping-particle":"","parse-names":false,"suffix":""}],"container-title":"Coastal Management","id":"ITEM-1","issue":"4","issued":{"date-parts":[["2019"]]},"page":"387-405","publisher":"Taylor &amp; Francis","title":"Dynamite Fishing in a Marine Protected Area in Tanzania: Why Youth Perceptions Matter","type":"article-journal","volume":"47"},"uris":["http://www.mendeley.com/documents/?uuid=b242917d-13ed-4f03-ae67-5471d070808e"]},{"id":"ITEM-2","itemData":{"DOI":"10.1016/j.marpol.2014.09.019","ISSN":"0308597X","abstract":"One of the reasons for the failure of some Marine Protected Areas (MPAs) is the lack of respect for their boundaries and regulations, which intensifies the need to assess the attitudes of stakeholders affected by MPAs. To this end, it is necessary to know the perception and behavior of resource users in these areas in relation to the management process. This study addressed the perception of different groups of fishermen in three MPAs that allow sustainable use of resources on the Brazilian northeastern coast. The perception analysis was based on four aspects: biodiversity conservation, flexibility and adaptability of fishermen, participation in management and opinions about the MPA. The interviewed fishermen (. n=100) were classified into natives or immigrants,≥than 40 years old or &lt;40, predominant use of selective or nonselective fishing gear and part or full time fishermen. The results showed that younger fishermen and the ones who use selective fishing gear presented a more conservation prone perception; nonselective fishermen and part-time fishermen were more flexible and adaptable to changes; and younger fishermen tended to agree more with the establishment of the MPAs. Taking these differences in perceptions among fishermen into account could serve as a basis for improvements in the management and conservation of fishing resources, besides helping predict possible future behavior due to changes in management policies.","author":[{"dropping-particle":"","family":"Silva","given":"Monalisa R.O.","non-dropping-particle":"","parse-names":false,"suffix":""},{"dropping-particle":"","family":"Lopes","given":"Prisicla F.M.","non-dropping-particle":"","parse-names":false,"suffix":""}],"container-title":"Marine Policy","id":"ITEM-2","issued":{"date-parts":[["2015"]]},"page":"347-355","publisher":"Elsevier","title":"Each fisherman is different: Taking the environmental perception of small-scale fishermen into account to manage marine protected areas","type":"article-journal","volume":"51"},"uris":["http://www.mendeley.com/documents/?uuid=b3893187-f609-4005-99b5-9f187e579195"]}],"mendeley":{"formattedCitation":"(Kamat, 2019; Silva &amp; Lopes, 2015)","plainTextFormattedCitation":"(Kamat, 2019; Silva &amp; Lopes, 2015)","previouslyFormattedCitation":"(Kamat, 2019; Silva &amp; Lopes, 2015)"},"properties":{"noteIndex":0},"schema":"https://github.com/citation-style-language/schema/raw/master/csl-citation.json"}</w:instrText>
      </w:r>
      <w:r w:rsidR="00317788">
        <w:fldChar w:fldCharType="separate"/>
      </w:r>
      <w:r w:rsidR="00317788" w:rsidRPr="00317788">
        <w:rPr>
          <w:noProof/>
        </w:rPr>
        <w:t>(Kamat, 2019; Silva &amp; Lopes, 2015)</w:t>
      </w:r>
      <w:r w:rsidR="00317788">
        <w:fldChar w:fldCharType="end"/>
      </w:r>
      <w:r w:rsidR="002B352D">
        <w:t>, or between every different villages (different cultures of fishing).</w:t>
      </w:r>
    </w:p>
    <w:p w14:paraId="745F9B56" w14:textId="77777777" w:rsidR="007E141E" w:rsidRDefault="007E141E" w:rsidP="007E141E">
      <w:pPr>
        <w:pStyle w:val="Titre2"/>
      </w:pPr>
    </w:p>
    <w:p w14:paraId="6183D618" w14:textId="77777777" w:rsidR="007E141E" w:rsidRDefault="007E141E" w:rsidP="007E141E">
      <w:pPr>
        <w:pStyle w:val="Titre2"/>
      </w:pPr>
    </w:p>
    <w:p w14:paraId="31678CE4" w14:textId="12D71D18" w:rsidR="007E141E" w:rsidRDefault="007E141E" w:rsidP="007E141E">
      <w:pPr>
        <w:pStyle w:val="Titre2"/>
      </w:pPr>
      <w:r>
        <w:t>Bibliography</w:t>
      </w:r>
    </w:p>
    <w:p w14:paraId="04228105" w14:textId="77777777" w:rsidR="00317788" w:rsidRDefault="00317788" w:rsidP="00317788">
      <w:pPr>
        <w:widowControl w:val="0"/>
        <w:autoSpaceDE w:val="0"/>
        <w:autoSpaceDN w:val="0"/>
        <w:adjustRightInd w:val="0"/>
        <w:spacing w:line="240" w:lineRule="auto"/>
        <w:ind w:left="480" w:hanging="480"/>
      </w:pPr>
    </w:p>
    <w:p w14:paraId="0291C5E9" w14:textId="05114F79"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Pr="00317788">
        <w:rPr>
          <w:rFonts w:ascii="Calibri" w:hAnsi="Calibri" w:cs="Calibri"/>
          <w:noProof/>
          <w:szCs w:val="24"/>
        </w:rPr>
        <w:t xml:space="preserve">Afonso, A. S., Fidelis, L. L., Roque, P. L., Galindo, R., Dionisio, W., Veras, L. B., &amp; Hazin, F. H. V. (2019). Public support for conservation may decay with increasing residence time in suboptimal marine protected areas. </w:t>
      </w:r>
      <w:r w:rsidRPr="00317788">
        <w:rPr>
          <w:rFonts w:ascii="Calibri" w:hAnsi="Calibri" w:cs="Calibri"/>
          <w:i/>
          <w:iCs/>
          <w:noProof/>
          <w:szCs w:val="24"/>
        </w:rPr>
        <w:t>Marine Policy</w:t>
      </w:r>
      <w:r w:rsidRPr="00317788">
        <w:rPr>
          <w:rFonts w:ascii="Calibri" w:hAnsi="Calibri" w:cs="Calibri"/>
          <w:noProof/>
          <w:szCs w:val="24"/>
        </w:rPr>
        <w:t xml:space="preserve">, </w:t>
      </w:r>
      <w:r w:rsidRPr="00317788">
        <w:rPr>
          <w:rFonts w:ascii="Calibri" w:hAnsi="Calibri" w:cs="Calibri"/>
          <w:i/>
          <w:iCs/>
          <w:noProof/>
          <w:szCs w:val="24"/>
        </w:rPr>
        <w:t>108</w:t>
      </w:r>
      <w:r w:rsidRPr="00317788">
        <w:rPr>
          <w:rFonts w:ascii="Calibri" w:hAnsi="Calibri" w:cs="Calibri"/>
          <w:noProof/>
          <w:szCs w:val="24"/>
        </w:rPr>
        <w:t>(January), 103665. https://doi.org/10.1016/j.marpol.2019.103665</w:t>
      </w:r>
    </w:p>
    <w:p w14:paraId="2D621BA4"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Bennett, N. J. (2016). Using perceptions as evidence to improve conservation and environmental management. </w:t>
      </w:r>
      <w:r w:rsidRPr="00317788">
        <w:rPr>
          <w:rFonts w:ascii="Calibri" w:hAnsi="Calibri" w:cs="Calibri"/>
          <w:i/>
          <w:iCs/>
          <w:noProof/>
          <w:szCs w:val="24"/>
        </w:rPr>
        <w:t>Conservation Biology</w:t>
      </w:r>
      <w:r w:rsidRPr="00317788">
        <w:rPr>
          <w:rFonts w:ascii="Calibri" w:hAnsi="Calibri" w:cs="Calibri"/>
          <w:noProof/>
          <w:szCs w:val="24"/>
        </w:rPr>
        <w:t xml:space="preserve">, </w:t>
      </w:r>
      <w:r w:rsidRPr="00317788">
        <w:rPr>
          <w:rFonts w:ascii="Calibri" w:hAnsi="Calibri" w:cs="Calibri"/>
          <w:i/>
          <w:iCs/>
          <w:noProof/>
          <w:szCs w:val="24"/>
        </w:rPr>
        <w:t>30</w:t>
      </w:r>
      <w:r w:rsidRPr="00317788">
        <w:rPr>
          <w:rFonts w:ascii="Calibri" w:hAnsi="Calibri" w:cs="Calibri"/>
          <w:noProof/>
          <w:szCs w:val="24"/>
        </w:rPr>
        <w:t>(3), 582–592. https://doi.org/10.1111/cobi.12681</w:t>
      </w:r>
    </w:p>
    <w:p w14:paraId="27CB2B90"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Bennett, N. J., &amp; Dearden, P. (2014). From measuring outcomes to providing inputs: Governance, management, and local development for more effective marine protected areas. </w:t>
      </w:r>
      <w:r w:rsidRPr="00317788">
        <w:rPr>
          <w:rFonts w:ascii="Calibri" w:hAnsi="Calibri" w:cs="Calibri"/>
          <w:i/>
          <w:iCs/>
          <w:noProof/>
          <w:szCs w:val="24"/>
        </w:rPr>
        <w:t>Marine Policy</w:t>
      </w:r>
      <w:r w:rsidRPr="00317788">
        <w:rPr>
          <w:rFonts w:ascii="Calibri" w:hAnsi="Calibri" w:cs="Calibri"/>
          <w:noProof/>
          <w:szCs w:val="24"/>
        </w:rPr>
        <w:t xml:space="preserve">, </w:t>
      </w:r>
      <w:r w:rsidRPr="00317788">
        <w:rPr>
          <w:rFonts w:ascii="Calibri" w:hAnsi="Calibri" w:cs="Calibri"/>
          <w:i/>
          <w:iCs/>
          <w:noProof/>
          <w:szCs w:val="24"/>
        </w:rPr>
        <w:t>50</w:t>
      </w:r>
      <w:r w:rsidRPr="00317788">
        <w:rPr>
          <w:rFonts w:ascii="Calibri" w:hAnsi="Calibri" w:cs="Calibri"/>
          <w:noProof/>
          <w:szCs w:val="24"/>
        </w:rPr>
        <w:t>(PA), 96–110. https://doi.org/10.1016/j.marpol.2014.05.005</w:t>
      </w:r>
    </w:p>
    <w:p w14:paraId="3852FAA5"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Choe, Y., &amp; Schuett, M. A. (2020). Stakeholders’ perceptions of social and environmental changes affecting Everglades National Park in South Florida. </w:t>
      </w:r>
      <w:r w:rsidRPr="00317788">
        <w:rPr>
          <w:rFonts w:ascii="Calibri" w:hAnsi="Calibri" w:cs="Calibri"/>
          <w:i/>
          <w:iCs/>
          <w:noProof/>
          <w:szCs w:val="24"/>
        </w:rPr>
        <w:t>Environmental Development</w:t>
      </w:r>
      <w:r w:rsidRPr="00317788">
        <w:rPr>
          <w:rFonts w:ascii="Calibri" w:hAnsi="Calibri" w:cs="Calibri"/>
          <w:noProof/>
          <w:szCs w:val="24"/>
        </w:rPr>
        <w:t>, 100524. https://doi.org/10.1016/j.envdev.2020.100524</w:t>
      </w:r>
    </w:p>
    <w:p w14:paraId="626662C8"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Delevaux, J., Winter, K., Jupiter, S., Blaich-Vaughan, M., Stamoulis, K., Bremer, L., … Ticktin, T. (2018). Linking Land and Sea through Collaborative Research to Inform Contemporary applications of Traditional Resource Management in Hawai‘i. </w:t>
      </w:r>
      <w:r w:rsidRPr="00317788">
        <w:rPr>
          <w:rFonts w:ascii="Calibri" w:hAnsi="Calibri" w:cs="Calibri"/>
          <w:i/>
          <w:iCs/>
          <w:noProof/>
          <w:szCs w:val="24"/>
        </w:rPr>
        <w:t>Sustainability</w:t>
      </w:r>
      <w:r w:rsidRPr="00317788">
        <w:rPr>
          <w:rFonts w:ascii="Calibri" w:hAnsi="Calibri" w:cs="Calibri"/>
          <w:noProof/>
          <w:szCs w:val="24"/>
        </w:rPr>
        <w:t xml:space="preserve">, </w:t>
      </w:r>
      <w:r w:rsidRPr="00317788">
        <w:rPr>
          <w:rFonts w:ascii="Calibri" w:hAnsi="Calibri" w:cs="Calibri"/>
          <w:i/>
          <w:iCs/>
          <w:noProof/>
          <w:szCs w:val="24"/>
        </w:rPr>
        <w:t>10</w:t>
      </w:r>
      <w:r w:rsidRPr="00317788">
        <w:rPr>
          <w:rFonts w:ascii="Calibri" w:hAnsi="Calibri" w:cs="Calibri"/>
          <w:noProof/>
          <w:szCs w:val="24"/>
        </w:rPr>
        <w:t xml:space="preserve">(9), 3147. </w:t>
      </w:r>
      <w:r w:rsidRPr="00317788">
        <w:rPr>
          <w:rFonts w:ascii="Calibri" w:hAnsi="Calibri" w:cs="Calibri"/>
          <w:noProof/>
          <w:szCs w:val="24"/>
        </w:rPr>
        <w:lastRenderedPageBreak/>
        <w:t>https://doi.org/10.3390/su10093147</w:t>
      </w:r>
    </w:p>
    <w:p w14:paraId="0CE88081"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Díaz, S., Demissew, S., Joly, C., Lonsdale, W. M., &amp; Larigauderie, A. (2015). A Rosetta Stone for nature’s benefits to people. </w:t>
      </w:r>
      <w:r w:rsidRPr="00317788">
        <w:rPr>
          <w:rFonts w:ascii="Calibri" w:hAnsi="Calibri" w:cs="Calibri"/>
          <w:i/>
          <w:iCs/>
          <w:noProof/>
          <w:szCs w:val="24"/>
        </w:rPr>
        <w:t>PLoS Biology</w:t>
      </w:r>
      <w:r w:rsidRPr="00317788">
        <w:rPr>
          <w:rFonts w:ascii="Calibri" w:hAnsi="Calibri" w:cs="Calibri"/>
          <w:noProof/>
          <w:szCs w:val="24"/>
        </w:rPr>
        <w:t xml:space="preserve">, </w:t>
      </w:r>
      <w:r w:rsidRPr="00317788">
        <w:rPr>
          <w:rFonts w:ascii="Calibri" w:hAnsi="Calibri" w:cs="Calibri"/>
          <w:i/>
          <w:iCs/>
          <w:noProof/>
          <w:szCs w:val="24"/>
        </w:rPr>
        <w:t>13</w:t>
      </w:r>
      <w:r w:rsidRPr="00317788">
        <w:rPr>
          <w:rFonts w:ascii="Calibri" w:hAnsi="Calibri" w:cs="Calibri"/>
          <w:noProof/>
          <w:szCs w:val="24"/>
        </w:rPr>
        <w:t>(1), e1002040. https://doi.org/10.1371/journal.pbio.1002040</w:t>
      </w:r>
    </w:p>
    <w:p w14:paraId="4E969347"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Failler, P., Touron-Gardic, G., Sadio, O., &amp; Traoré, M. S. (2020). Perception of natural habitat changes of West African marine protected areas. </w:t>
      </w:r>
      <w:r w:rsidRPr="00317788">
        <w:rPr>
          <w:rFonts w:ascii="Calibri" w:hAnsi="Calibri" w:cs="Calibri"/>
          <w:i/>
          <w:iCs/>
          <w:noProof/>
          <w:szCs w:val="24"/>
        </w:rPr>
        <w:t>Ocean and Coastal Management</w:t>
      </w:r>
      <w:r w:rsidRPr="00317788">
        <w:rPr>
          <w:rFonts w:ascii="Calibri" w:hAnsi="Calibri" w:cs="Calibri"/>
          <w:noProof/>
          <w:szCs w:val="24"/>
        </w:rPr>
        <w:t xml:space="preserve">, </w:t>
      </w:r>
      <w:r w:rsidRPr="00317788">
        <w:rPr>
          <w:rFonts w:ascii="Calibri" w:hAnsi="Calibri" w:cs="Calibri"/>
          <w:i/>
          <w:iCs/>
          <w:noProof/>
          <w:szCs w:val="24"/>
        </w:rPr>
        <w:t>187</w:t>
      </w:r>
      <w:r w:rsidRPr="00317788">
        <w:rPr>
          <w:rFonts w:ascii="Calibri" w:hAnsi="Calibri" w:cs="Calibri"/>
          <w:noProof/>
          <w:szCs w:val="24"/>
        </w:rPr>
        <w:t>(February). https://doi.org/10.1016/j.ocecoaman.2020.105120</w:t>
      </w:r>
    </w:p>
    <w:p w14:paraId="019CF066" w14:textId="77777777" w:rsidR="00317788" w:rsidRPr="004B6821" w:rsidRDefault="00317788" w:rsidP="00317788">
      <w:pPr>
        <w:widowControl w:val="0"/>
        <w:autoSpaceDE w:val="0"/>
        <w:autoSpaceDN w:val="0"/>
        <w:adjustRightInd w:val="0"/>
        <w:spacing w:line="240" w:lineRule="auto"/>
        <w:ind w:left="480" w:hanging="480"/>
        <w:rPr>
          <w:rFonts w:ascii="Calibri" w:hAnsi="Calibri" w:cs="Calibri"/>
          <w:noProof/>
          <w:szCs w:val="24"/>
          <w:lang w:val="fr-FR"/>
        </w:rPr>
      </w:pPr>
      <w:r w:rsidRPr="00317788">
        <w:rPr>
          <w:rFonts w:ascii="Calibri" w:hAnsi="Calibri" w:cs="Calibri"/>
          <w:noProof/>
          <w:szCs w:val="24"/>
        </w:rPr>
        <w:t xml:space="preserve">Gelcich, S., Kaiser, M. J., Castilla, J. C., &amp; Edwards-Jones, G. (2008). Engagement in co-management of marine benthic resources influences environmental perceptions of artisanal fishers. </w:t>
      </w:r>
      <w:r w:rsidRPr="004B6821">
        <w:rPr>
          <w:rFonts w:ascii="Calibri" w:hAnsi="Calibri" w:cs="Calibri"/>
          <w:i/>
          <w:iCs/>
          <w:noProof/>
          <w:szCs w:val="24"/>
          <w:lang w:val="fr-FR"/>
        </w:rPr>
        <w:t>Environmental Conservation</w:t>
      </w:r>
      <w:r w:rsidRPr="004B6821">
        <w:rPr>
          <w:rFonts w:ascii="Calibri" w:hAnsi="Calibri" w:cs="Calibri"/>
          <w:noProof/>
          <w:szCs w:val="24"/>
          <w:lang w:val="fr-FR"/>
        </w:rPr>
        <w:t xml:space="preserve">, </w:t>
      </w:r>
      <w:r w:rsidRPr="004B6821">
        <w:rPr>
          <w:rFonts w:ascii="Calibri" w:hAnsi="Calibri" w:cs="Calibri"/>
          <w:i/>
          <w:iCs/>
          <w:noProof/>
          <w:szCs w:val="24"/>
          <w:lang w:val="fr-FR"/>
        </w:rPr>
        <w:t>35</w:t>
      </w:r>
      <w:r w:rsidRPr="004B6821">
        <w:rPr>
          <w:rFonts w:ascii="Calibri" w:hAnsi="Calibri" w:cs="Calibri"/>
          <w:noProof/>
          <w:szCs w:val="24"/>
          <w:lang w:val="fr-FR"/>
        </w:rPr>
        <w:t>(1), 36–45. https://doi.org/10.1017/S0376892908004475</w:t>
      </w:r>
    </w:p>
    <w:p w14:paraId="7CBF3837"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4B6821">
        <w:rPr>
          <w:rFonts w:ascii="Calibri" w:hAnsi="Calibri" w:cs="Calibri"/>
          <w:noProof/>
          <w:szCs w:val="24"/>
          <w:lang w:val="fr-FR"/>
        </w:rPr>
        <w:t xml:space="preserve">Giraldi-Costa, A. C., Medeiros, R. P., &amp; Tiepolo, L. M. (2020). </w:t>
      </w:r>
      <w:r w:rsidRPr="00317788">
        <w:rPr>
          <w:rFonts w:ascii="Calibri" w:hAnsi="Calibri" w:cs="Calibri"/>
          <w:noProof/>
          <w:szCs w:val="24"/>
        </w:rPr>
        <w:t xml:space="preserve">Step zero of marine protected areas of Brazil. </w:t>
      </w:r>
      <w:r w:rsidRPr="00317788">
        <w:rPr>
          <w:rFonts w:ascii="Calibri" w:hAnsi="Calibri" w:cs="Calibri"/>
          <w:i/>
          <w:iCs/>
          <w:noProof/>
          <w:szCs w:val="24"/>
        </w:rPr>
        <w:t>Marine Policy</w:t>
      </w:r>
      <w:r w:rsidRPr="00317788">
        <w:rPr>
          <w:rFonts w:ascii="Calibri" w:hAnsi="Calibri" w:cs="Calibri"/>
          <w:noProof/>
          <w:szCs w:val="24"/>
        </w:rPr>
        <w:t xml:space="preserve">, </w:t>
      </w:r>
      <w:r w:rsidRPr="00317788">
        <w:rPr>
          <w:rFonts w:ascii="Calibri" w:hAnsi="Calibri" w:cs="Calibri"/>
          <w:i/>
          <w:iCs/>
          <w:noProof/>
          <w:szCs w:val="24"/>
        </w:rPr>
        <w:t>120</w:t>
      </w:r>
      <w:r w:rsidRPr="00317788">
        <w:rPr>
          <w:rFonts w:ascii="Calibri" w:hAnsi="Calibri" w:cs="Calibri"/>
          <w:noProof/>
          <w:szCs w:val="24"/>
        </w:rPr>
        <w:t>(July), 104119. https://doi.org/10.1016/j.marpol.2020.104119</w:t>
      </w:r>
    </w:p>
    <w:p w14:paraId="4EDC9AE7"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Kamat, V. R. (2019). Dynamite Fishing in a Marine Protected Area in Tanzania: Why Youth Perceptions Matter. </w:t>
      </w:r>
      <w:r w:rsidRPr="00317788">
        <w:rPr>
          <w:rFonts w:ascii="Calibri" w:hAnsi="Calibri" w:cs="Calibri"/>
          <w:i/>
          <w:iCs/>
          <w:noProof/>
          <w:szCs w:val="24"/>
        </w:rPr>
        <w:t>Coastal Management</w:t>
      </w:r>
      <w:r w:rsidRPr="00317788">
        <w:rPr>
          <w:rFonts w:ascii="Calibri" w:hAnsi="Calibri" w:cs="Calibri"/>
          <w:noProof/>
          <w:szCs w:val="24"/>
        </w:rPr>
        <w:t xml:space="preserve">, </w:t>
      </w:r>
      <w:r w:rsidRPr="00317788">
        <w:rPr>
          <w:rFonts w:ascii="Calibri" w:hAnsi="Calibri" w:cs="Calibri"/>
          <w:i/>
          <w:iCs/>
          <w:noProof/>
          <w:szCs w:val="24"/>
        </w:rPr>
        <w:t>47</w:t>
      </w:r>
      <w:r w:rsidRPr="00317788">
        <w:rPr>
          <w:rFonts w:ascii="Calibri" w:hAnsi="Calibri" w:cs="Calibri"/>
          <w:noProof/>
          <w:szCs w:val="24"/>
        </w:rPr>
        <w:t>(4), 387–405. https://doi.org/10.1080/08920753.2019.1619902</w:t>
      </w:r>
    </w:p>
    <w:p w14:paraId="002F7E24"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Kelly, R., Fleming, A., Mackay, M., García, C., &amp; Pecl, G. T. (2020). Social licence for marine protected areas. </w:t>
      </w:r>
      <w:r w:rsidRPr="00317788">
        <w:rPr>
          <w:rFonts w:ascii="Calibri" w:hAnsi="Calibri" w:cs="Calibri"/>
          <w:i/>
          <w:iCs/>
          <w:noProof/>
          <w:szCs w:val="24"/>
        </w:rPr>
        <w:t>Marine Policy</w:t>
      </w:r>
      <w:r w:rsidRPr="00317788">
        <w:rPr>
          <w:rFonts w:ascii="Calibri" w:hAnsi="Calibri" w:cs="Calibri"/>
          <w:noProof/>
          <w:szCs w:val="24"/>
        </w:rPr>
        <w:t>, (July 2019), 103782. https://doi.org/10.1016/j.marpol.2019.103782</w:t>
      </w:r>
    </w:p>
    <w:p w14:paraId="3906E5F9" w14:textId="77777777" w:rsidR="00317788" w:rsidRPr="004B6821" w:rsidRDefault="00317788" w:rsidP="00317788">
      <w:pPr>
        <w:widowControl w:val="0"/>
        <w:autoSpaceDE w:val="0"/>
        <w:autoSpaceDN w:val="0"/>
        <w:adjustRightInd w:val="0"/>
        <w:spacing w:line="240" w:lineRule="auto"/>
        <w:ind w:left="480" w:hanging="480"/>
        <w:rPr>
          <w:rFonts w:ascii="Calibri" w:hAnsi="Calibri" w:cs="Calibri"/>
          <w:noProof/>
          <w:szCs w:val="24"/>
          <w:lang w:val="fr-FR"/>
        </w:rPr>
      </w:pPr>
      <w:r w:rsidRPr="00317788">
        <w:rPr>
          <w:rFonts w:ascii="Calibri" w:hAnsi="Calibri" w:cs="Calibri"/>
          <w:noProof/>
          <w:szCs w:val="24"/>
        </w:rPr>
        <w:t xml:space="preserve">Leisher, C., Mangubhai, S., Hess, S., Widodo, H., Soekirman, T., Tjoe, S., … Sanjayan, M. (2012). Measuring the benefits and costs of community education and outreach in marine protected areas. </w:t>
      </w:r>
      <w:r w:rsidRPr="004B6821">
        <w:rPr>
          <w:rFonts w:ascii="Calibri" w:hAnsi="Calibri" w:cs="Calibri"/>
          <w:i/>
          <w:iCs/>
          <w:noProof/>
          <w:szCs w:val="24"/>
          <w:lang w:val="fr-FR"/>
        </w:rPr>
        <w:t>Marine Policy</w:t>
      </w:r>
      <w:r w:rsidRPr="004B6821">
        <w:rPr>
          <w:rFonts w:ascii="Calibri" w:hAnsi="Calibri" w:cs="Calibri"/>
          <w:noProof/>
          <w:szCs w:val="24"/>
          <w:lang w:val="fr-FR"/>
        </w:rPr>
        <w:t xml:space="preserve">, </w:t>
      </w:r>
      <w:r w:rsidRPr="004B6821">
        <w:rPr>
          <w:rFonts w:ascii="Calibri" w:hAnsi="Calibri" w:cs="Calibri"/>
          <w:i/>
          <w:iCs/>
          <w:noProof/>
          <w:szCs w:val="24"/>
          <w:lang w:val="fr-FR"/>
        </w:rPr>
        <w:t>36</w:t>
      </w:r>
      <w:r w:rsidRPr="004B6821">
        <w:rPr>
          <w:rFonts w:ascii="Calibri" w:hAnsi="Calibri" w:cs="Calibri"/>
          <w:noProof/>
          <w:szCs w:val="24"/>
          <w:lang w:val="fr-FR"/>
        </w:rPr>
        <w:t>(5), 1005–1011. https://doi.org/10.1016/j.marpol.2012.02.022</w:t>
      </w:r>
    </w:p>
    <w:p w14:paraId="58B15274"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4B6821">
        <w:rPr>
          <w:rFonts w:ascii="Calibri" w:hAnsi="Calibri" w:cs="Calibri"/>
          <w:noProof/>
          <w:szCs w:val="24"/>
          <w:lang w:val="fr-FR"/>
        </w:rPr>
        <w:t xml:space="preserve">Leleu, K., Alban, F., Pelletier, D., Charbonnel, E., Letourneur, Y., &amp; Boudouresque, C. F. (2012). </w:t>
      </w:r>
      <w:r w:rsidRPr="00317788">
        <w:rPr>
          <w:rFonts w:ascii="Calibri" w:hAnsi="Calibri" w:cs="Calibri"/>
          <w:noProof/>
          <w:szCs w:val="24"/>
        </w:rPr>
        <w:t xml:space="preserve">Fishers’ perceptions as indicators of the performance of Marine Protected Areas (MPAs). </w:t>
      </w:r>
      <w:r w:rsidRPr="00317788">
        <w:rPr>
          <w:rFonts w:ascii="Calibri" w:hAnsi="Calibri" w:cs="Calibri"/>
          <w:i/>
          <w:iCs/>
          <w:noProof/>
          <w:szCs w:val="24"/>
        </w:rPr>
        <w:t>Marine Policy</w:t>
      </w:r>
      <w:r w:rsidRPr="00317788">
        <w:rPr>
          <w:rFonts w:ascii="Calibri" w:hAnsi="Calibri" w:cs="Calibri"/>
          <w:noProof/>
          <w:szCs w:val="24"/>
        </w:rPr>
        <w:t xml:space="preserve">, </w:t>
      </w:r>
      <w:r w:rsidRPr="00317788">
        <w:rPr>
          <w:rFonts w:ascii="Calibri" w:hAnsi="Calibri" w:cs="Calibri"/>
          <w:i/>
          <w:iCs/>
          <w:noProof/>
          <w:szCs w:val="24"/>
        </w:rPr>
        <w:t>36</w:t>
      </w:r>
      <w:r w:rsidRPr="00317788">
        <w:rPr>
          <w:rFonts w:ascii="Calibri" w:hAnsi="Calibri" w:cs="Calibri"/>
          <w:noProof/>
          <w:szCs w:val="24"/>
        </w:rPr>
        <w:t>(2), 414–422. https://doi.org/10.1016/j.marpol.2011.06.002</w:t>
      </w:r>
    </w:p>
    <w:p w14:paraId="25B521EE"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Mascia, M. B., &amp; Biology, C. (2003). The Human Dimension of Coral Reef Marine Protected Areas : Recent Social Science Research and Its Policy Implications Published by : Wiley for Society for Conservation Biology Stable URL : http://www.jstor.org/stable/30953. </w:t>
      </w:r>
      <w:r w:rsidRPr="00317788">
        <w:rPr>
          <w:rFonts w:ascii="Calibri" w:hAnsi="Calibri" w:cs="Calibri"/>
          <w:i/>
          <w:iCs/>
          <w:noProof/>
          <w:szCs w:val="24"/>
        </w:rPr>
        <w:t>Society for Conservation Biology</w:t>
      </w:r>
      <w:r w:rsidRPr="00317788">
        <w:rPr>
          <w:rFonts w:ascii="Calibri" w:hAnsi="Calibri" w:cs="Calibri"/>
          <w:noProof/>
          <w:szCs w:val="24"/>
        </w:rPr>
        <w:t xml:space="preserve">, </w:t>
      </w:r>
      <w:r w:rsidRPr="00317788">
        <w:rPr>
          <w:rFonts w:ascii="Calibri" w:hAnsi="Calibri" w:cs="Calibri"/>
          <w:i/>
          <w:iCs/>
          <w:noProof/>
          <w:szCs w:val="24"/>
        </w:rPr>
        <w:t>17</w:t>
      </w:r>
      <w:r w:rsidRPr="00317788">
        <w:rPr>
          <w:rFonts w:ascii="Calibri" w:hAnsi="Calibri" w:cs="Calibri"/>
          <w:noProof/>
          <w:szCs w:val="24"/>
        </w:rPr>
        <w:t>(2), 630–632.</w:t>
      </w:r>
    </w:p>
    <w:p w14:paraId="30E36F9E"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Pelletier, D., García-charton, J. A., Ferraris, J., David, G., Thébaud, O., Letourneur, Y., … Galzin, R. (2005). </w:t>
      </w:r>
      <w:r w:rsidRPr="00317788">
        <w:rPr>
          <w:rFonts w:ascii="Calibri" w:hAnsi="Calibri" w:cs="Calibri"/>
          <w:i/>
          <w:iCs/>
          <w:noProof/>
          <w:szCs w:val="24"/>
        </w:rPr>
        <w:t>Designing indicators for assessing the effects of marine protected areas on coral reef ecosystems : A multidisciplinary standpoint</w:t>
      </w:r>
      <w:r w:rsidRPr="00317788">
        <w:rPr>
          <w:rFonts w:ascii="Calibri" w:hAnsi="Calibri" w:cs="Calibri"/>
          <w:noProof/>
          <w:szCs w:val="24"/>
        </w:rPr>
        <w:t xml:space="preserve">. </w:t>
      </w:r>
      <w:r w:rsidRPr="00317788">
        <w:rPr>
          <w:rFonts w:ascii="Calibri" w:hAnsi="Calibri" w:cs="Calibri"/>
          <w:i/>
          <w:iCs/>
          <w:noProof/>
          <w:szCs w:val="24"/>
        </w:rPr>
        <w:t>33</w:t>
      </w:r>
      <w:r w:rsidRPr="00317788">
        <w:rPr>
          <w:rFonts w:ascii="Calibri" w:hAnsi="Calibri" w:cs="Calibri"/>
          <w:noProof/>
          <w:szCs w:val="24"/>
        </w:rPr>
        <w:t>, 15–33.</w:t>
      </w:r>
    </w:p>
    <w:p w14:paraId="203DD72B"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Pita, P., Antelo, M., Hyder, K., &amp; Vingada, J. (2020). </w:t>
      </w:r>
      <w:r w:rsidRPr="00317788">
        <w:rPr>
          <w:rFonts w:ascii="Calibri" w:hAnsi="Calibri" w:cs="Calibri"/>
          <w:i/>
          <w:iCs/>
          <w:noProof/>
          <w:szCs w:val="24"/>
        </w:rPr>
        <w:t>The Use of Recreational Fishers ’ Ecological Knowledge to Assess the Conservation Status of Marine Ecosystems</w:t>
      </w:r>
      <w:r w:rsidRPr="00317788">
        <w:rPr>
          <w:rFonts w:ascii="Calibri" w:hAnsi="Calibri" w:cs="Calibri"/>
          <w:noProof/>
          <w:szCs w:val="24"/>
        </w:rPr>
        <w:t xml:space="preserve">. </w:t>
      </w:r>
      <w:r w:rsidRPr="00317788">
        <w:rPr>
          <w:rFonts w:ascii="Calibri" w:hAnsi="Calibri" w:cs="Calibri"/>
          <w:i/>
          <w:iCs/>
          <w:noProof/>
          <w:szCs w:val="24"/>
        </w:rPr>
        <w:t>7</w:t>
      </w:r>
      <w:r w:rsidRPr="00317788">
        <w:rPr>
          <w:rFonts w:ascii="Calibri" w:hAnsi="Calibri" w:cs="Calibri"/>
          <w:noProof/>
          <w:szCs w:val="24"/>
        </w:rPr>
        <w:t>(April), 1–14. https://doi.org/10.3389/fmars.2020.00242</w:t>
      </w:r>
    </w:p>
    <w:p w14:paraId="7F744D21"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Pomeroy, R. S., &amp; Carlos, M. B. (1997). Community-based coastal resource management in the Philippines: A review and evaluation of programs and projects, 1984-1994. </w:t>
      </w:r>
      <w:r w:rsidRPr="00317788">
        <w:rPr>
          <w:rFonts w:ascii="Calibri" w:hAnsi="Calibri" w:cs="Calibri"/>
          <w:i/>
          <w:iCs/>
          <w:noProof/>
          <w:szCs w:val="24"/>
        </w:rPr>
        <w:t>Marine Policy</w:t>
      </w:r>
      <w:r w:rsidRPr="00317788">
        <w:rPr>
          <w:rFonts w:ascii="Calibri" w:hAnsi="Calibri" w:cs="Calibri"/>
          <w:noProof/>
          <w:szCs w:val="24"/>
        </w:rPr>
        <w:t xml:space="preserve">, </w:t>
      </w:r>
      <w:r w:rsidRPr="00317788">
        <w:rPr>
          <w:rFonts w:ascii="Calibri" w:hAnsi="Calibri" w:cs="Calibri"/>
          <w:i/>
          <w:iCs/>
          <w:noProof/>
          <w:szCs w:val="24"/>
        </w:rPr>
        <w:t>21</w:t>
      </w:r>
      <w:r w:rsidRPr="00317788">
        <w:rPr>
          <w:rFonts w:ascii="Calibri" w:hAnsi="Calibri" w:cs="Calibri"/>
          <w:noProof/>
          <w:szCs w:val="24"/>
        </w:rPr>
        <w:t>(5), 445–464. https://doi.org/10.1016/S0308-597X(97)00016-X</w:t>
      </w:r>
    </w:p>
    <w:p w14:paraId="2BBFFA41"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Shackleton, S., Campbell, B., Wollenberg, E., &amp; Edmunds, D. (2002). Devolution and Community-Based Natural Resource Management: Creating Space for Local People to Participate and Benefit? </w:t>
      </w:r>
      <w:r w:rsidRPr="00317788">
        <w:rPr>
          <w:rFonts w:ascii="Calibri" w:hAnsi="Calibri" w:cs="Calibri"/>
          <w:i/>
          <w:iCs/>
          <w:noProof/>
          <w:szCs w:val="24"/>
        </w:rPr>
        <w:t>Natural Resource Perspectives</w:t>
      </w:r>
      <w:r w:rsidRPr="00317788">
        <w:rPr>
          <w:rFonts w:ascii="Calibri" w:hAnsi="Calibri" w:cs="Calibri"/>
          <w:noProof/>
          <w:szCs w:val="24"/>
        </w:rPr>
        <w:t xml:space="preserve">, </w:t>
      </w:r>
      <w:r w:rsidRPr="00317788">
        <w:rPr>
          <w:rFonts w:ascii="Calibri" w:hAnsi="Calibri" w:cs="Calibri"/>
          <w:i/>
          <w:iCs/>
          <w:noProof/>
          <w:szCs w:val="24"/>
        </w:rPr>
        <w:t>76</w:t>
      </w:r>
      <w:r w:rsidRPr="00317788">
        <w:rPr>
          <w:rFonts w:ascii="Calibri" w:hAnsi="Calibri" w:cs="Calibri"/>
          <w:noProof/>
          <w:szCs w:val="24"/>
        </w:rPr>
        <w:t>(76), 1–6.</w:t>
      </w:r>
    </w:p>
    <w:p w14:paraId="7EF04E79"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Silva, M. R. O., &amp; Lopes, P. F. M. (2015). Each fisherman is different: Taking the environmental perception of small-scale fishermen into account to manage marine protected areas. </w:t>
      </w:r>
      <w:r w:rsidRPr="00317788">
        <w:rPr>
          <w:rFonts w:ascii="Calibri" w:hAnsi="Calibri" w:cs="Calibri"/>
          <w:i/>
          <w:iCs/>
          <w:noProof/>
          <w:szCs w:val="24"/>
        </w:rPr>
        <w:t>Marine Policy</w:t>
      </w:r>
      <w:r w:rsidRPr="00317788">
        <w:rPr>
          <w:rFonts w:ascii="Calibri" w:hAnsi="Calibri" w:cs="Calibri"/>
          <w:noProof/>
          <w:szCs w:val="24"/>
        </w:rPr>
        <w:t xml:space="preserve">, </w:t>
      </w:r>
      <w:r w:rsidRPr="00317788">
        <w:rPr>
          <w:rFonts w:ascii="Calibri" w:hAnsi="Calibri" w:cs="Calibri"/>
          <w:i/>
          <w:iCs/>
          <w:noProof/>
          <w:szCs w:val="24"/>
        </w:rPr>
        <w:t>51</w:t>
      </w:r>
      <w:r w:rsidRPr="00317788">
        <w:rPr>
          <w:rFonts w:ascii="Calibri" w:hAnsi="Calibri" w:cs="Calibri"/>
          <w:noProof/>
          <w:szCs w:val="24"/>
        </w:rPr>
        <w:t>, 347–355. https://doi.org/10.1016/j.marpol.2014.09.019</w:t>
      </w:r>
    </w:p>
    <w:p w14:paraId="63FF875E"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Sterling, E. J., Filardi, C., Toomey, A., Sigouin, A., Betley, E., Gazit, N., … Jupiter, S. D. (2017). Biocultural </w:t>
      </w:r>
      <w:r w:rsidRPr="00317788">
        <w:rPr>
          <w:rFonts w:ascii="Calibri" w:hAnsi="Calibri" w:cs="Calibri"/>
          <w:noProof/>
          <w:szCs w:val="24"/>
        </w:rPr>
        <w:lastRenderedPageBreak/>
        <w:t xml:space="preserve">approaches to well-being and sustainability indicators across scales. </w:t>
      </w:r>
      <w:r w:rsidRPr="00317788">
        <w:rPr>
          <w:rFonts w:ascii="Calibri" w:hAnsi="Calibri" w:cs="Calibri"/>
          <w:i/>
          <w:iCs/>
          <w:noProof/>
          <w:szCs w:val="24"/>
        </w:rPr>
        <w:t>Nature Ecology and Evolution</w:t>
      </w:r>
      <w:r w:rsidRPr="00317788">
        <w:rPr>
          <w:rFonts w:ascii="Calibri" w:hAnsi="Calibri" w:cs="Calibri"/>
          <w:noProof/>
          <w:szCs w:val="24"/>
        </w:rPr>
        <w:t xml:space="preserve">, </w:t>
      </w:r>
      <w:r w:rsidRPr="00317788">
        <w:rPr>
          <w:rFonts w:ascii="Calibri" w:hAnsi="Calibri" w:cs="Calibri"/>
          <w:i/>
          <w:iCs/>
          <w:noProof/>
          <w:szCs w:val="24"/>
        </w:rPr>
        <w:t>1</w:t>
      </w:r>
      <w:r w:rsidRPr="00317788">
        <w:rPr>
          <w:rFonts w:ascii="Calibri" w:hAnsi="Calibri" w:cs="Calibri"/>
          <w:noProof/>
          <w:szCs w:val="24"/>
        </w:rPr>
        <w:t>(12), 1798–1806. https://doi.org/10.1038/s41559-017-0349-6</w:t>
      </w:r>
    </w:p>
    <w:p w14:paraId="5CF91476"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szCs w:val="24"/>
        </w:rPr>
      </w:pPr>
      <w:r w:rsidRPr="00317788">
        <w:rPr>
          <w:rFonts w:ascii="Calibri" w:hAnsi="Calibri" w:cs="Calibri"/>
          <w:noProof/>
          <w:szCs w:val="24"/>
        </w:rPr>
        <w:t xml:space="preserve">Suman, D., Shivlani, M., &amp; Walter Milon, J. (1999). Perceptions and attitudes regarding marine reserves: A comparison of stakeholder groups in the Florida Keys National Marine Sanctuary. </w:t>
      </w:r>
      <w:r w:rsidRPr="00317788">
        <w:rPr>
          <w:rFonts w:ascii="Calibri" w:hAnsi="Calibri" w:cs="Calibri"/>
          <w:i/>
          <w:iCs/>
          <w:noProof/>
          <w:szCs w:val="24"/>
        </w:rPr>
        <w:t>Ocean and Coastal Management</w:t>
      </w:r>
      <w:r w:rsidRPr="00317788">
        <w:rPr>
          <w:rFonts w:ascii="Calibri" w:hAnsi="Calibri" w:cs="Calibri"/>
          <w:noProof/>
          <w:szCs w:val="24"/>
        </w:rPr>
        <w:t xml:space="preserve">, </w:t>
      </w:r>
      <w:r w:rsidRPr="00317788">
        <w:rPr>
          <w:rFonts w:ascii="Calibri" w:hAnsi="Calibri" w:cs="Calibri"/>
          <w:i/>
          <w:iCs/>
          <w:noProof/>
          <w:szCs w:val="24"/>
        </w:rPr>
        <w:t>42</w:t>
      </w:r>
      <w:r w:rsidRPr="00317788">
        <w:rPr>
          <w:rFonts w:ascii="Calibri" w:hAnsi="Calibri" w:cs="Calibri"/>
          <w:noProof/>
          <w:szCs w:val="24"/>
        </w:rPr>
        <w:t>(12), 1019–1040. https://doi.org/10.1016/S0964-5691(99)00062-9</w:t>
      </w:r>
    </w:p>
    <w:p w14:paraId="5A92E19C" w14:textId="77777777" w:rsidR="00317788" w:rsidRPr="00317788" w:rsidRDefault="00317788" w:rsidP="00317788">
      <w:pPr>
        <w:widowControl w:val="0"/>
        <w:autoSpaceDE w:val="0"/>
        <w:autoSpaceDN w:val="0"/>
        <w:adjustRightInd w:val="0"/>
        <w:spacing w:line="240" w:lineRule="auto"/>
        <w:ind w:left="480" w:hanging="480"/>
        <w:rPr>
          <w:rFonts w:ascii="Calibri" w:hAnsi="Calibri" w:cs="Calibri"/>
          <w:noProof/>
        </w:rPr>
      </w:pPr>
      <w:r w:rsidRPr="00317788">
        <w:rPr>
          <w:rFonts w:ascii="Calibri" w:hAnsi="Calibri" w:cs="Calibri"/>
          <w:noProof/>
          <w:szCs w:val="24"/>
        </w:rPr>
        <w:t xml:space="preserve">Thiao, D., Westlund, L., Sambe, B., Diadhiou, H. D., Dème, M., Mbenga, A., &amp; Diop, M. (2019). A perception-based participatory monitoring and evaluation approach to foster effective co-management of the marine protected areas in Northwest Africa. </w:t>
      </w:r>
      <w:r w:rsidRPr="00317788">
        <w:rPr>
          <w:rFonts w:ascii="Calibri" w:hAnsi="Calibri" w:cs="Calibri"/>
          <w:i/>
          <w:iCs/>
          <w:noProof/>
          <w:szCs w:val="24"/>
        </w:rPr>
        <w:t>Ocean and Coastal Management</w:t>
      </w:r>
      <w:r w:rsidRPr="00317788">
        <w:rPr>
          <w:rFonts w:ascii="Calibri" w:hAnsi="Calibri" w:cs="Calibri"/>
          <w:noProof/>
          <w:szCs w:val="24"/>
        </w:rPr>
        <w:t xml:space="preserve">, </w:t>
      </w:r>
      <w:r w:rsidRPr="00317788">
        <w:rPr>
          <w:rFonts w:ascii="Calibri" w:hAnsi="Calibri" w:cs="Calibri"/>
          <w:i/>
          <w:iCs/>
          <w:noProof/>
          <w:szCs w:val="24"/>
        </w:rPr>
        <w:t>175</w:t>
      </w:r>
      <w:r w:rsidRPr="00317788">
        <w:rPr>
          <w:rFonts w:ascii="Calibri" w:hAnsi="Calibri" w:cs="Calibri"/>
          <w:noProof/>
          <w:szCs w:val="24"/>
        </w:rPr>
        <w:t>(April), 1–16. https://doi.org/10.1016/j.ocecoaman.2019.03.026</w:t>
      </w:r>
    </w:p>
    <w:p w14:paraId="52C4D628" w14:textId="73F0BE11" w:rsidR="00E867EE" w:rsidRDefault="00317788" w:rsidP="00A076EC">
      <w:r>
        <w:fldChar w:fldCharType="end"/>
      </w:r>
    </w:p>
    <w:p w14:paraId="75B8893C" w14:textId="4375B4C3" w:rsidR="00CB132D" w:rsidRDefault="00CB132D" w:rsidP="00A076EC"/>
    <w:p w14:paraId="7CC761F3" w14:textId="0805AB14" w:rsidR="00CB132D" w:rsidRDefault="00CB132D" w:rsidP="00A076EC"/>
    <w:p w14:paraId="5C80E539" w14:textId="77777777" w:rsidR="00CB132D" w:rsidRPr="00A076EC" w:rsidRDefault="00CB132D" w:rsidP="00A076EC"/>
    <w:sectPr w:rsidR="00CB132D" w:rsidRPr="00A076EC" w:rsidSect="0055357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Victor" w:date="2020-11-11T16:21:00Z" w:initials="V">
    <w:p w14:paraId="5CED6819" w14:textId="54548DDC" w:rsidR="00370DED" w:rsidRPr="00370DED" w:rsidRDefault="00370DED">
      <w:pPr>
        <w:pStyle w:val="Commentaire"/>
        <w:rPr>
          <w:lang w:val="fr-FR"/>
        </w:rPr>
      </w:pPr>
      <w:r>
        <w:rPr>
          <w:rStyle w:val="Marquedecommentaire"/>
        </w:rPr>
        <w:annotationRef/>
      </w:r>
      <w:r w:rsidRPr="00370DED">
        <w:rPr>
          <w:lang w:val="fr-FR"/>
        </w:rPr>
        <w:t>Question</w:t>
      </w:r>
      <w:r>
        <w:rPr>
          <w:lang w:val="fr-FR"/>
        </w:rPr>
        <w:t xml:space="preserve"> </w:t>
      </w:r>
      <w:r w:rsidRPr="00370DED">
        <w:rPr>
          <w:lang w:val="fr-FR"/>
        </w:rPr>
        <w:t xml:space="preserve">: </w:t>
      </w:r>
      <w:r w:rsidR="0075699F">
        <w:rPr>
          <w:lang w:val="fr-FR"/>
        </w:rPr>
        <w:t>quelle importance donner à la méthode</w:t>
      </w:r>
      <w:r>
        <w:rPr>
          <w:lang w:val="fr-FR"/>
        </w:rPr>
        <w:t xml:space="preserve"> de</w:t>
      </w:r>
      <w:r w:rsidR="0075699F">
        <w:rPr>
          <w:lang w:val="fr-FR"/>
        </w:rPr>
        <w:t>s</w:t>
      </w:r>
      <w:r>
        <w:rPr>
          <w:lang w:val="fr-FR"/>
        </w:rPr>
        <w:t xml:space="preserve"> réseaux de perception</w:t>
      </w:r>
      <w:r w:rsidR="0075699F">
        <w:rPr>
          <w:lang w:val="fr-FR"/>
        </w:rPr>
        <w:t xml:space="preserve"> dans l’intro</w:t>
      </w:r>
      <w:r>
        <w:rPr>
          <w:lang w:val="fr-FR"/>
        </w:rPr>
        <w:t xml:space="preserve"> ? </w:t>
      </w:r>
      <w:r w:rsidR="0075699F">
        <w:rPr>
          <w:lang w:val="fr-FR"/>
        </w:rPr>
        <w:t>L</w:t>
      </w:r>
      <w:r w:rsidR="00593E4B">
        <w:rPr>
          <w:lang w:val="fr-FR"/>
        </w:rPr>
        <w:t>a méthode est relativement novatrice, et c’est à double tranchant</w:t>
      </w:r>
      <w:r w:rsidR="000D2FA6">
        <w:rPr>
          <w:lang w:val="fr-FR"/>
        </w:rPr>
        <w:t> :</w:t>
      </w:r>
      <w:r w:rsidR="00593E4B">
        <w:rPr>
          <w:lang w:val="fr-FR"/>
        </w:rPr>
        <w:t xml:space="preserve"> </w:t>
      </w:r>
      <w:r w:rsidR="000D2FA6">
        <w:rPr>
          <w:lang w:val="fr-FR"/>
        </w:rPr>
        <w:t>o</w:t>
      </w:r>
      <w:r w:rsidR="00593E4B">
        <w:rPr>
          <w:lang w:val="fr-FR"/>
        </w:rPr>
        <w:t>n peut la défendre comme un outil pour représenter les perceptions à partir d’entretiens ouverts, mais il faudrait peut</w:t>
      </w:r>
      <w:r w:rsidR="000D2FA6">
        <w:rPr>
          <w:lang w:val="fr-FR"/>
        </w:rPr>
        <w:t>-</w:t>
      </w:r>
      <w:r w:rsidR="00593E4B">
        <w:rPr>
          <w:lang w:val="fr-FR"/>
        </w:rPr>
        <w:t>être intégrer cela dans les questions de recherche, sinon la métho</w:t>
      </w:r>
      <w:r w:rsidR="000D2FA6">
        <w:rPr>
          <w:lang w:val="fr-FR"/>
        </w:rPr>
        <w:t>de peut tomber comme un cheveu sur la soupe.</w:t>
      </w:r>
    </w:p>
  </w:comment>
  <w:comment w:id="1" w:author="Victor" w:date="2020-11-14T11:03:00Z" w:initials="V">
    <w:p w14:paraId="04051F64" w14:textId="7BE5B262" w:rsidR="004D20A6" w:rsidRPr="004D20A6" w:rsidRDefault="004D20A6">
      <w:pPr>
        <w:pStyle w:val="Commentaire"/>
        <w:rPr>
          <w:lang w:val="fr-FR"/>
        </w:rPr>
      </w:pPr>
      <w:r>
        <w:rPr>
          <w:rStyle w:val="Marquedecommentaire"/>
        </w:rPr>
        <w:annotationRef/>
      </w:r>
      <w:r w:rsidRPr="004D20A6">
        <w:rPr>
          <w:lang w:val="fr-FR"/>
        </w:rPr>
        <w:t>Ajouter une carte de l</w:t>
      </w:r>
      <w:r>
        <w:rPr>
          <w:lang w:val="fr-FR"/>
        </w:rPr>
        <w:t>a zone ? Villages + habitats écologiques ? Jolie photo de pêcheurs ou engins de pêche </w:t>
      </w:r>
      <w:r w:rsidR="00CE762A">
        <w:rPr>
          <w:lang w:val="fr-FR"/>
        </w:rPr>
        <w:t>et poissons ? Un graphe montrant l’évolution de la démographie dans les villages ?</w:t>
      </w:r>
      <w:r>
        <w:rPr>
          <w:lang w:val="fr-FR"/>
        </w:rPr>
        <w:t xml:space="preserve"> </w:t>
      </w:r>
    </w:p>
  </w:comment>
  <w:comment w:id="2" w:author="Victor" w:date="2020-11-13T11:54:00Z" w:initials="V">
    <w:p w14:paraId="4618B1D1" w14:textId="786400DB" w:rsidR="004A7EEB" w:rsidRPr="004A7EEB" w:rsidRDefault="004A7EEB">
      <w:pPr>
        <w:pStyle w:val="Commentaire"/>
        <w:rPr>
          <w:lang w:val="fr-FR"/>
        </w:rPr>
      </w:pPr>
      <w:r>
        <w:rPr>
          <w:rStyle w:val="Marquedecommentaire"/>
        </w:rPr>
        <w:annotationRef/>
      </w:r>
      <w:r w:rsidRPr="004A7EEB">
        <w:rPr>
          <w:lang w:val="fr-FR"/>
        </w:rPr>
        <w:t xml:space="preserve">Exemple ici, ou bien on </w:t>
      </w:r>
      <w:r>
        <w:rPr>
          <w:lang w:val="fr-FR"/>
        </w:rPr>
        <w:t>garde pour les résultats ?</w:t>
      </w:r>
    </w:p>
  </w:comment>
  <w:comment w:id="3" w:author="Victor" w:date="2020-11-13T12:05:00Z" w:initials="V">
    <w:p w14:paraId="47FAC1F7" w14:textId="77777777" w:rsidR="005025A7" w:rsidRDefault="005025A7">
      <w:pPr>
        <w:pStyle w:val="Commentaire"/>
        <w:rPr>
          <w:lang w:val="fr-FR"/>
        </w:rPr>
      </w:pPr>
      <w:r>
        <w:rPr>
          <w:rStyle w:val="Marquedecommentaire"/>
        </w:rPr>
        <w:annotationRef/>
      </w:r>
      <w:r w:rsidR="0075699F">
        <w:rPr>
          <w:lang w:val="fr-FR"/>
        </w:rPr>
        <w:t xml:space="preserve">Ici on peut soit : </w:t>
      </w:r>
    </w:p>
    <w:p w14:paraId="2C170038" w14:textId="77777777" w:rsidR="0075699F" w:rsidRDefault="0075699F" w:rsidP="0075699F">
      <w:pPr>
        <w:pStyle w:val="Commentaire"/>
        <w:numPr>
          <w:ilvl w:val="0"/>
          <w:numId w:val="4"/>
        </w:numPr>
        <w:rPr>
          <w:lang w:val="fr-FR"/>
        </w:rPr>
      </w:pPr>
      <w:r>
        <w:rPr>
          <w:lang w:val="fr-FR"/>
        </w:rPr>
        <w:t xml:space="preserve"> Etoffer avec des citations, pour montrer la solidité du codage thématique qui peut être débattue sans exemple. On montre ainsi que les choix de codes ne sont pas arbitraires et correspondent à des choses dites clairement par les répondants.</w:t>
      </w:r>
    </w:p>
    <w:p w14:paraId="7BF13163" w14:textId="251FC569" w:rsidR="0075699F" w:rsidRPr="0075699F" w:rsidRDefault="0075699F" w:rsidP="0075699F">
      <w:pPr>
        <w:pStyle w:val="Commentaire"/>
        <w:numPr>
          <w:ilvl w:val="0"/>
          <w:numId w:val="4"/>
        </w:numPr>
        <w:rPr>
          <w:lang w:val="fr-FR"/>
        </w:rPr>
      </w:pPr>
      <w:r>
        <w:rPr>
          <w:lang w:val="fr-FR"/>
        </w:rPr>
        <w:t xml:space="preserve"> Ne pas étoffer, et garder courte cette introduction de ce qu’on appelle les « perceptions », au risque que cela ne soit pas clair par la suite.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ED6819" w15:done="0"/>
  <w15:commentEx w15:paraId="04051F64" w15:done="0"/>
  <w15:commentEx w15:paraId="4618B1D1" w15:done="0"/>
  <w15:commentEx w15:paraId="7BF131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68E21" w16cex:dateUtc="2020-11-11T15:21:00Z"/>
  <w16cex:commentExtensible w16cex:durableId="235A3810" w16cex:dateUtc="2020-11-14T10:03:00Z"/>
  <w16cex:commentExtensible w16cex:durableId="2358F26B" w16cex:dateUtc="2020-11-13T10:54:00Z"/>
  <w16cex:commentExtensible w16cex:durableId="2358F511" w16cex:dateUtc="2020-11-13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ED6819" w16cid:durableId="23568E21"/>
  <w16cid:commentId w16cid:paraId="04051F64" w16cid:durableId="235A3810"/>
  <w16cid:commentId w16cid:paraId="4618B1D1" w16cid:durableId="2358F26B"/>
  <w16cid:commentId w16cid:paraId="7BF13163" w16cid:durableId="2358F5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11F50"/>
    <w:multiLevelType w:val="hybridMultilevel"/>
    <w:tmpl w:val="F3522244"/>
    <w:lvl w:ilvl="0" w:tplc="00CE2B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41035"/>
    <w:multiLevelType w:val="hybridMultilevel"/>
    <w:tmpl w:val="DEF4BB90"/>
    <w:lvl w:ilvl="0" w:tplc="7B0C028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EF4898"/>
    <w:multiLevelType w:val="hybridMultilevel"/>
    <w:tmpl w:val="9EDAAF34"/>
    <w:lvl w:ilvl="0" w:tplc="051EAF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5E2031"/>
    <w:multiLevelType w:val="hybridMultilevel"/>
    <w:tmpl w:val="6D8C1574"/>
    <w:lvl w:ilvl="0" w:tplc="00CE2B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ctor">
    <w15:presenceInfo w15:providerId="None" w15:userId="Vic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6EC"/>
    <w:rsid w:val="000C45D5"/>
    <w:rsid w:val="000D2FA6"/>
    <w:rsid w:val="00123717"/>
    <w:rsid w:val="00126EDC"/>
    <w:rsid w:val="00180C28"/>
    <w:rsid w:val="001F34DE"/>
    <w:rsid w:val="002014EC"/>
    <w:rsid w:val="0026332C"/>
    <w:rsid w:val="002A24D7"/>
    <w:rsid w:val="002B278E"/>
    <w:rsid w:val="002B352D"/>
    <w:rsid w:val="002E70C0"/>
    <w:rsid w:val="00317788"/>
    <w:rsid w:val="0033567F"/>
    <w:rsid w:val="00350769"/>
    <w:rsid w:val="00352E51"/>
    <w:rsid w:val="00370DED"/>
    <w:rsid w:val="00391ACE"/>
    <w:rsid w:val="003C1ECF"/>
    <w:rsid w:val="003D7967"/>
    <w:rsid w:val="00451836"/>
    <w:rsid w:val="0045546F"/>
    <w:rsid w:val="0048132A"/>
    <w:rsid w:val="004873F6"/>
    <w:rsid w:val="004A7EEB"/>
    <w:rsid w:val="004B6821"/>
    <w:rsid w:val="004D20A6"/>
    <w:rsid w:val="005025A7"/>
    <w:rsid w:val="005442E8"/>
    <w:rsid w:val="00553575"/>
    <w:rsid w:val="00593E4B"/>
    <w:rsid w:val="005C36FD"/>
    <w:rsid w:val="005D43C8"/>
    <w:rsid w:val="005D4C6E"/>
    <w:rsid w:val="005E24E8"/>
    <w:rsid w:val="00621F00"/>
    <w:rsid w:val="0063120C"/>
    <w:rsid w:val="006603A6"/>
    <w:rsid w:val="00697B88"/>
    <w:rsid w:val="006A0833"/>
    <w:rsid w:val="006E467C"/>
    <w:rsid w:val="0075699F"/>
    <w:rsid w:val="007E141E"/>
    <w:rsid w:val="008673BF"/>
    <w:rsid w:val="00871276"/>
    <w:rsid w:val="008B5FED"/>
    <w:rsid w:val="008B671A"/>
    <w:rsid w:val="008C32E8"/>
    <w:rsid w:val="00920C05"/>
    <w:rsid w:val="009300F8"/>
    <w:rsid w:val="00942B36"/>
    <w:rsid w:val="00956B15"/>
    <w:rsid w:val="009602FC"/>
    <w:rsid w:val="00976592"/>
    <w:rsid w:val="00986D08"/>
    <w:rsid w:val="00A076EC"/>
    <w:rsid w:val="00A9032D"/>
    <w:rsid w:val="00AD19EE"/>
    <w:rsid w:val="00B40D79"/>
    <w:rsid w:val="00BB1CD5"/>
    <w:rsid w:val="00CB132D"/>
    <w:rsid w:val="00CB45EA"/>
    <w:rsid w:val="00CD78AF"/>
    <w:rsid w:val="00CE762A"/>
    <w:rsid w:val="00D82B5B"/>
    <w:rsid w:val="00D94C66"/>
    <w:rsid w:val="00D97972"/>
    <w:rsid w:val="00E64B71"/>
    <w:rsid w:val="00E867EE"/>
    <w:rsid w:val="00EF394F"/>
    <w:rsid w:val="00F3662A"/>
    <w:rsid w:val="00F55EC5"/>
    <w:rsid w:val="00F57EFC"/>
    <w:rsid w:val="00F73101"/>
    <w:rsid w:val="00F7648E"/>
    <w:rsid w:val="00FD6FA4"/>
    <w:rsid w:val="00FE60FA"/>
    <w:rsid w:val="00FE6B0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C636"/>
  <w15:chartTrackingRefBased/>
  <w15:docId w15:val="{A5CD5F77-9FB8-46C9-BB98-6AF18E2C3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0F8"/>
    <w:pPr>
      <w:jc w:val="both"/>
    </w:pPr>
  </w:style>
  <w:style w:type="paragraph" w:styleId="Titre1">
    <w:name w:val="heading 1"/>
    <w:basedOn w:val="Normal"/>
    <w:next w:val="Normal"/>
    <w:link w:val="Titre1Car"/>
    <w:uiPriority w:val="9"/>
    <w:qFormat/>
    <w:rsid w:val="00A07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076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76E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076EC"/>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A076EC"/>
    <w:pPr>
      <w:ind w:left="720"/>
      <w:contextualSpacing/>
    </w:pPr>
  </w:style>
  <w:style w:type="character" w:styleId="Marquedecommentaire">
    <w:name w:val="annotation reference"/>
    <w:basedOn w:val="Policepardfaut"/>
    <w:uiPriority w:val="99"/>
    <w:semiHidden/>
    <w:unhideWhenUsed/>
    <w:rsid w:val="00370DED"/>
    <w:rPr>
      <w:sz w:val="16"/>
      <w:szCs w:val="16"/>
    </w:rPr>
  </w:style>
  <w:style w:type="paragraph" w:styleId="Commentaire">
    <w:name w:val="annotation text"/>
    <w:basedOn w:val="Normal"/>
    <w:link w:val="CommentaireCar"/>
    <w:uiPriority w:val="99"/>
    <w:semiHidden/>
    <w:unhideWhenUsed/>
    <w:rsid w:val="00370DED"/>
    <w:pPr>
      <w:spacing w:line="240" w:lineRule="auto"/>
    </w:pPr>
    <w:rPr>
      <w:sz w:val="20"/>
      <w:szCs w:val="20"/>
    </w:rPr>
  </w:style>
  <w:style w:type="character" w:customStyle="1" w:styleId="CommentaireCar">
    <w:name w:val="Commentaire Car"/>
    <w:basedOn w:val="Policepardfaut"/>
    <w:link w:val="Commentaire"/>
    <w:uiPriority w:val="99"/>
    <w:semiHidden/>
    <w:rsid w:val="00370DED"/>
    <w:rPr>
      <w:sz w:val="20"/>
      <w:szCs w:val="20"/>
    </w:rPr>
  </w:style>
  <w:style w:type="paragraph" w:styleId="Objetducommentaire">
    <w:name w:val="annotation subject"/>
    <w:basedOn w:val="Commentaire"/>
    <w:next w:val="Commentaire"/>
    <w:link w:val="ObjetducommentaireCar"/>
    <w:uiPriority w:val="99"/>
    <w:semiHidden/>
    <w:unhideWhenUsed/>
    <w:rsid w:val="00370DED"/>
    <w:rPr>
      <w:b/>
      <w:bCs/>
    </w:rPr>
  </w:style>
  <w:style w:type="character" w:customStyle="1" w:styleId="ObjetducommentaireCar">
    <w:name w:val="Objet du commentaire Car"/>
    <w:basedOn w:val="CommentaireCar"/>
    <w:link w:val="Objetducommentaire"/>
    <w:uiPriority w:val="99"/>
    <w:semiHidden/>
    <w:rsid w:val="00370DED"/>
    <w:rPr>
      <w:b/>
      <w:bCs/>
      <w:sz w:val="20"/>
      <w:szCs w:val="20"/>
    </w:rPr>
  </w:style>
  <w:style w:type="paragraph" w:styleId="Textedebulles">
    <w:name w:val="Balloon Text"/>
    <w:basedOn w:val="Normal"/>
    <w:link w:val="TextedebullesCar"/>
    <w:uiPriority w:val="99"/>
    <w:semiHidden/>
    <w:unhideWhenUsed/>
    <w:rsid w:val="00370D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0D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59569">
      <w:bodyDiv w:val="1"/>
      <w:marLeft w:val="0"/>
      <w:marRight w:val="0"/>
      <w:marTop w:val="0"/>
      <w:marBottom w:val="0"/>
      <w:divBdr>
        <w:top w:val="none" w:sz="0" w:space="0" w:color="auto"/>
        <w:left w:val="none" w:sz="0" w:space="0" w:color="auto"/>
        <w:bottom w:val="none" w:sz="0" w:space="0" w:color="auto"/>
        <w:right w:val="none" w:sz="0" w:space="0" w:color="auto"/>
      </w:divBdr>
    </w:div>
    <w:div w:id="472211990">
      <w:bodyDiv w:val="1"/>
      <w:marLeft w:val="0"/>
      <w:marRight w:val="0"/>
      <w:marTop w:val="0"/>
      <w:marBottom w:val="0"/>
      <w:divBdr>
        <w:top w:val="none" w:sz="0" w:space="0" w:color="auto"/>
        <w:left w:val="none" w:sz="0" w:space="0" w:color="auto"/>
        <w:bottom w:val="none" w:sz="0" w:space="0" w:color="auto"/>
        <w:right w:val="none" w:sz="0" w:space="0" w:color="auto"/>
      </w:divBdr>
    </w:div>
    <w:div w:id="209211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tiff"/><Relationship Id="rId17" Type="http://schemas.openxmlformats.org/officeDocument/2006/relationships/image" Target="media/image8.tiff"/><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1.tiff"/><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50F38-B19D-4AFA-B3AA-0DEA3382B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13</Pages>
  <Words>12797</Words>
  <Characters>72944</Characters>
  <Application>Microsoft Office Word</Application>
  <DocSecurity>0</DocSecurity>
  <Lines>607</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Victor</cp:lastModifiedBy>
  <cp:revision>29</cp:revision>
  <dcterms:created xsi:type="dcterms:W3CDTF">2020-11-09T12:58:00Z</dcterms:created>
  <dcterms:modified xsi:type="dcterms:W3CDTF">2020-12-07T10:15:00Z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bc9ffd5d-5877-3ed2-81ce-e53c52aa674a</vt:lpwstr>
  </property>
  <property fmtid="{D5CDD505-2E9C-101B-9397-08002B2CF9AE}" pid="24" name="Mendeley Citation Style_1">
    <vt:lpwstr>http://www.zotero.org/styles/apa</vt:lpwstr>
  </property>
</Properties>
</file>