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153D4" w14:textId="657FEF8D" w:rsidR="00F43C80" w:rsidRPr="003C3C99" w:rsidRDefault="003C3C99">
      <w:r>
        <w:t>Le mois dernier la Commission Africaine des droits de l’Homme et des peuples a publié un grand nombre de ses décisions issu</w:t>
      </w:r>
      <w:r w:rsidR="00303268">
        <w:t>es</w:t>
      </w:r>
      <w:r>
        <w:t xml:space="preserve"> des 70</w:t>
      </w:r>
      <w:r w:rsidRPr="003C3C99">
        <w:rPr>
          <w:vertAlign w:val="superscript"/>
        </w:rPr>
        <w:t>ème</w:t>
      </w:r>
      <w:r>
        <w:t>, 72</w:t>
      </w:r>
      <w:r w:rsidRPr="003C3C99">
        <w:rPr>
          <w:vertAlign w:val="superscript"/>
        </w:rPr>
        <w:t>ème</w:t>
      </w:r>
      <w:r>
        <w:t>, 73</w:t>
      </w:r>
      <w:r w:rsidRPr="003C3C99">
        <w:rPr>
          <w:vertAlign w:val="superscript"/>
        </w:rPr>
        <w:t>ème</w:t>
      </w:r>
      <w:r>
        <w:t>, 74</w:t>
      </w:r>
      <w:r w:rsidRPr="003C3C99">
        <w:rPr>
          <w:vertAlign w:val="superscript"/>
        </w:rPr>
        <w:t>ème</w:t>
      </w:r>
      <w:r>
        <w:t>, 75</w:t>
      </w:r>
      <w:r w:rsidRPr="003C3C99">
        <w:rPr>
          <w:vertAlign w:val="superscript"/>
        </w:rPr>
        <w:t>ème</w:t>
      </w:r>
      <w:r>
        <w:t>, 76</w:t>
      </w:r>
      <w:r w:rsidRPr="003C3C99">
        <w:rPr>
          <w:vertAlign w:val="superscript"/>
        </w:rPr>
        <w:t>ème</w:t>
      </w:r>
      <w:r>
        <w:t>, 77</w:t>
      </w:r>
      <w:r w:rsidRPr="003C3C99">
        <w:rPr>
          <w:vertAlign w:val="superscript"/>
        </w:rPr>
        <w:t>ème</w:t>
      </w:r>
      <w:r>
        <w:t>, 78</w:t>
      </w:r>
      <w:r w:rsidRPr="003C3C99">
        <w:rPr>
          <w:vertAlign w:val="superscript"/>
        </w:rPr>
        <w:t>ème</w:t>
      </w:r>
      <w:r>
        <w:t xml:space="preserve">, </w:t>
      </w:r>
      <w:r w:rsidR="00FE0F4A">
        <w:t>80</w:t>
      </w:r>
      <w:r w:rsidR="00FE0F4A" w:rsidRPr="00FE0F4A">
        <w:rPr>
          <w:vertAlign w:val="superscript"/>
        </w:rPr>
        <w:t>ème</w:t>
      </w:r>
      <w:r w:rsidR="00FE0F4A">
        <w:t>, 81</w:t>
      </w:r>
      <w:r w:rsidR="00FE0F4A" w:rsidRPr="00FE0F4A">
        <w:rPr>
          <w:vertAlign w:val="superscript"/>
        </w:rPr>
        <w:t>ème</w:t>
      </w:r>
      <w:r w:rsidR="00FE0F4A">
        <w:t xml:space="preserve"> sessions ordinaires. Cela correspond à </w:t>
      </w:r>
      <w:r w:rsidR="00303268">
        <w:t xml:space="preserve">une grande partie de </w:t>
      </w:r>
      <w:r w:rsidR="00FE0F4A">
        <w:t xml:space="preserve">son activité entre </w:t>
      </w:r>
      <w:r w:rsidR="00303268">
        <w:t>le 23 février 2022 et le 6 novembre 2024</w:t>
      </w:r>
      <w:r w:rsidR="00FE0F4A">
        <w:t xml:space="preserve"> Du fait du nombre important de décisions, </w:t>
      </w:r>
      <w:r w:rsidR="00303268">
        <w:t>celle ayant été prises lors des</w:t>
      </w:r>
      <w:r w:rsidR="00FE0F4A">
        <w:t xml:space="preserve"> 76</w:t>
      </w:r>
      <w:r w:rsidR="00FE0F4A" w:rsidRPr="00FE0F4A">
        <w:rPr>
          <w:vertAlign w:val="superscript"/>
        </w:rPr>
        <w:t>ème</w:t>
      </w:r>
      <w:r w:rsidR="00FE0F4A">
        <w:t>, 77</w:t>
      </w:r>
      <w:r w:rsidR="00FE0F4A" w:rsidRPr="00FE0F4A">
        <w:rPr>
          <w:vertAlign w:val="superscript"/>
        </w:rPr>
        <w:t>ème</w:t>
      </w:r>
      <w:r w:rsidR="00FE0F4A">
        <w:t>, 78</w:t>
      </w:r>
      <w:r w:rsidR="00FE0F4A" w:rsidRPr="00FE0F4A">
        <w:rPr>
          <w:vertAlign w:val="superscript"/>
        </w:rPr>
        <w:t>ème</w:t>
      </w:r>
      <w:r w:rsidR="00FE0F4A">
        <w:t>, 80</w:t>
      </w:r>
      <w:r w:rsidR="00FE0F4A" w:rsidRPr="00FE0F4A">
        <w:rPr>
          <w:vertAlign w:val="superscript"/>
        </w:rPr>
        <w:t>ème</w:t>
      </w:r>
      <w:r w:rsidR="00FE0F4A">
        <w:t xml:space="preserve"> et 81</w:t>
      </w:r>
      <w:r w:rsidR="00FE0F4A" w:rsidRPr="00FE0F4A">
        <w:rPr>
          <w:vertAlign w:val="superscript"/>
        </w:rPr>
        <w:t>ème</w:t>
      </w:r>
      <w:r w:rsidR="00FE0F4A">
        <w:t xml:space="preserve"> sessions seront traité</w:t>
      </w:r>
      <w:r w:rsidR="00303268">
        <w:t>e</w:t>
      </w:r>
      <w:r w:rsidR="00FE0F4A">
        <w:t>s dans le numéro suivant.</w:t>
      </w:r>
    </w:p>
    <w:p w14:paraId="74722789" w14:textId="3C33FCCB" w:rsidR="00AE7F70" w:rsidRPr="00F43C80" w:rsidRDefault="00F43C80">
      <w:pPr>
        <w:rPr>
          <w:b/>
          <w:bCs/>
          <w:u w:val="single"/>
        </w:rPr>
      </w:pPr>
      <w:r>
        <w:rPr>
          <w:b/>
          <w:bCs/>
          <w:u w:val="single"/>
        </w:rPr>
        <w:t>70th ordinary session</w:t>
      </w:r>
      <w:r w:rsidR="00303268">
        <w:rPr>
          <w:b/>
          <w:bCs/>
          <w:u w:val="single"/>
        </w:rPr>
        <w:t xml:space="preserve"> (23 février/9 mars 2022)</w:t>
      </w:r>
    </w:p>
    <w:p w14:paraId="34689B6F" w14:textId="79E803A9" w:rsidR="00B25E53" w:rsidRDefault="00B25E53">
      <w:pPr>
        <w:rPr>
          <w:u w:val="single"/>
        </w:rPr>
      </w:pPr>
      <w:r w:rsidRPr="00B25E53">
        <w:rPr>
          <w:u w:val="single"/>
        </w:rPr>
        <w:t>Communication 298/05 - Roy Bennett (Represented by Zimbabwe Lawyers for Human Rights) v. Zimbabwe (merits)</w:t>
      </w:r>
      <w:r>
        <w:rPr>
          <w:u w:val="single"/>
        </w:rPr>
        <w:t>, 4 nov 2025, 70th ordinary session</w:t>
      </w:r>
    </w:p>
    <w:p w14:paraId="02D0D22D" w14:textId="77777777" w:rsidR="00FA71E0" w:rsidRPr="00FA71E0" w:rsidRDefault="00FA71E0" w:rsidP="00FA71E0">
      <w:r w:rsidRPr="00FA71E0">
        <w:t>La plainte a été déposée contre la République du Zimbabwe par </w:t>
      </w:r>
      <w:r w:rsidRPr="00FA71E0">
        <w:rPr>
          <w:i/>
          <w:iCs/>
        </w:rPr>
        <w:t>Zimbabwe Lawyers for Human Rights</w:t>
      </w:r>
      <w:r w:rsidRPr="00FA71E0">
        <w:t> pour le compte de Roy Bennett, un élu du Parlement. La victime a été injustement et arbitrairement arrêtée et incarcérée dans une prison où elle a effectué des travaux forcés. Elle a plus généralement fait l’objet de menaces, contre elle et sa famille, à la suite de son élection. Par ailleurs, elle a été victime d’une agression violente dans sa propriété par des membres d’un parti politique et d’une confiscation arbitraire de ses biens par l’État (§8).</w:t>
      </w:r>
    </w:p>
    <w:p w14:paraId="201BBBC0" w14:textId="77777777" w:rsidR="00FA71E0" w:rsidRPr="00FA71E0" w:rsidRDefault="00FA71E0" w:rsidP="00FA71E0">
      <w:r w:rsidRPr="00FA71E0">
        <w:t>S’agissant de sa compétence, la Commission a rappelé sa décision </w:t>
      </w:r>
      <w:r w:rsidRPr="00FA71E0">
        <w:rPr>
          <w:i/>
          <w:iCs/>
        </w:rPr>
        <w:t>SERAP c. Nigéria</w:t>
      </w:r>
      <w:r w:rsidRPr="00FA71E0">
        <w:t> dans laquelle elle indique qu’une communication doit contenir des indications attestant </w:t>
      </w:r>
      <w:r w:rsidRPr="00FA71E0">
        <w:rPr>
          <w:i/>
          <w:iCs/>
        </w:rPr>
        <w:t>prima facie</w:t>
      </w:r>
      <w:r w:rsidRPr="00FA71E0">
        <w:t> d’une violation de la Charte. Pour autant, celle-ci précise que le terme « prima facie », tel qu'il est utilisé dans sa jurisprudence, n'impose pas l'obligation de « démontrer avec suffisamment de clarté », c’est-à-dire avec évidence, les violations alléguées (§60). Elle rappelle par ailleurs que rien n’impose au plaignant de mentionner explicitement les stipulations spécifiques dont la violation est alléguée pour démontrer une violation </w:t>
      </w:r>
      <w:r w:rsidRPr="00FA71E0">
        <w:rPr>
          <w:i/>
          <w:iCs/>
        </w:rPr>
        <w:t>prima facie</w:t>
      </w:r>
      <w:r w:rsidRPr="00FA71E0">
        <w:t> (§61).</w:t>
      </w:r>
    </w:p>
    <w:p w14:paraId="62FE7F74" w14:textId="77777777" w:rsidR="00FA71E0" w:rsidRPr="00FA71E0" w:rsidRDefault="00FA71E0" w:rsidP="00FA71E0">
      <w:r w:rsidRPr="00FA71E0">
        <w:t>S’agissant du critère d’épuisement des voies de recours internes (art. 56(5)), la Commission a rappelé deux éléments. D’abord, relativement à la temporalité de l’épuisement : en l’espèce, la demande a été reçue par le secrétariat de la Commission alors que la procédure devant la Cour suprême du Zimbabwe était encore pendante. Or, la Commission rappelle qu’il est fermement établi dans la pratique internationale en matière de droits humains que la règle de l’épuisement des voies de recours internes doit être appliquée avec une certaine flexibilité et sans excès de formalisme (§69). La Commission, compte tenu du fait que la décision sur la recevabilité a été prise postérieurement à la conclusion de la procédure nationale, n’a pas statué sur une irrecevabilité de la demande sur ce point. Elle a également admis que « dans les situations où il existe un besoin réel d'intervention urgente en raison d'un danger imminent pour la vie, la liberté ou les biens, l'exigence stricte d'épuiser tous les recours locaux avant qu'un plaignant puisse saisir la Commission risque d’aller à l'encontre de l'objectif de la Charte africaine » (§74).</w:t>
      </w:r>
    </w:p>
    <w:p w14:paraId="586C79A7" w14:textId="77777777" w:rsidR="00FA71E0" w:rsidRPr="00FA71E0" w:rsidRDefault="00FA71E0" w:rsidP="00FA71E0">
      <w:r w:rsidRPr="00FA71E0">
        <w:t>Ensuite, la Commission a rappelé qu’il revient à l’État défendeur la charge de la preuve de la disponibilité de voies de recours effectives et suffisantes (§66). Elle a ainsi considéré que l’État défendeur n’avait pas été à même de démontrer l’effectivité de ses voies de recours internes (§78).</w:t>
      </w:r>
    </w:p>
    <w:p w14:paraId="5483E6D1" w14:textId="77777777" w:rsidR="00FA71E0" w:rsidRPr="00FA71E0" w:rsidRDefault="00FA71E0" w:rsidP="00FA71E0">
      <w:r w:rsidRPr="00FA71E0">
        <w:t xml:space="preserve">S’agissant des allégations de violations de l’article 2 garantissant le droit à la non-discrimination, la Commission a rappelé qu’elle ne connaissait comme limitation aux droits et libertés garantis dans la Charte que celles prévues à l’article 27, i.e. le « droit d'autrui, de la sécurité collective, de </w:t>
      </w:r>
      <w:r w:rsidRPr="00FA71E0">
        <w:lastRenderedPageBreak/>
        <w:t>la morale et de l'intérêt commun » (§173). En l’espèce, la Commission n’a pas accueilli le moyen soulevé par le plaignant, à savoir que la saisie de ses terres aurait été motivée par des critères raciaux du fait que la victime est un fermier blanc. Au contraire, la Commission a tenu à rappeler la légitimité d’une politique consistant à exproprier des terres dans le cadre d’un programme de réforme agraire visant à remédier à des déséquilibres historiques, à servir l'intérêt public et à assurer la redistribution prévue par la loi (§174). Pour autant, elle a reconnu une violation de l’article 2 fondée sur les opinions politiques de la victime « et pas nécessairement sur sa race », du fait que les individus ayant exercé des violences sur sa propriété avaient été motivés par un discours du Président le visant (§178).</w:t>
      </w:r>
    </w:p>
    <w:p w14:paraId="633AB006" w14:textId="77777777" w:rsidR="00FA71E0" w:rsidRPr="00FA71E0" w:rsidRDefault="00FA71E0" w:rsidP="00FA71E0">
      <w:r w:rsidRPr="00FA71E0">
        <w:t>Concernant les violations alléguées de l’article 3, la Commission a considéré que, malgré le contexte, l’État défendeur avait manqué à ses obligations d'enquêter et de juger les auteurs présumés des actes criminels qu’a subis la victime (§185). Elle n’a en revanche pas accueilli le moyen selon lequel le fait que les membres du </w:t>
      </w:r>
      <w:r w:rsidRPr="00FA71E0">
        <w:rPr>
          <w:i/>
          <w:iCs/>
        </w:rPr>
        <w:t>Privileges Committee</w:t>
      </w:r>
      <w:r w:rsidRPr="00FA71E0">
        <w:t> soient majoritairement membres du ZANU-PF soit suffisant pour démontrer leur partialité (§188).</w:t>
      </w:r>
    </w:p>
    <w:p w14:paraId="5D7FB6B0" w14:textId="77777777" w:rsidR="00FA71E0" w:rsidRPr="00FA71E0" w:rsidRDefault="00FA71E0" w:rsidP="00FA71E0">
      <w:r w:rsidRPr="00FA71E0">
        <w:t>S’agissant de la violation des articles 4 et 5, la Commission a rappelé qu’elle avait adopté la définition de la torture contenue dans l’article 1 de la Convention des Nations Unies contre la torture (§192). Elle a ainsi rappelé qu'un État ne peut être tenu responsable des agissements d’acteurs non étatiques (§194). En revanche, le manque de diligence dans la conduite d’une enquête pour des faits de torture, ou de traitements inhumains ou dégradants, peut être considéré comme une atteinte aux droits garantis par l’article 5 de la Charte (§196). La Commission s’est fondée sur la même logique pour constater la violation des articles 18 (1) et (3) (§230).</w:t>
      </w:r>
    </w:p>
    <w:p w14:paraId="079055FB" w14:textId="77777777" w:rsidR="00FA71E0" w:rsidRPr="00FA71E0" w:rsidRDefault="00FA71E0" w:rsidP="00FA71E0">
      <w:r w:rsidRPr="00FA71E0">
        <w:t>S’appuyant sur les développements de l’arrêt de la CEDH dans l’affaire </w:t>
      </w:r>
      <w:r w:rsidRPr="00FA71E0">
        <w:rPr>
          <w:i/>
          <w:iCs/>
        </w:rPr>
        <w:t>Belilos c. Suisse</w:t>
      </w:r>
      <w:r w:rsidRPr="00FA71E0">
        <w:t>, la Commission a considéré que le </w:t>
      </w:r>
      <w:r w:rsidRPr="00FA71E0">
        <w:rPr>
          <w:i/>
          <w:iCs/>
        </w:rPr>
        <w:t>Privileges Committee</w:t>
      </w:r>
      <w:r w:rsidRPr="00FA71E0">
        <w:t> exerçait une fonction judiciaire dans la détermination de la culpabilité de la victime (§210). De ce fait, la Commission a considéré que des lacunes procédurales ont constitué des atteintes à l’impartialité de la juridiction et, ce faisant, à l’article 7(1)(d) de la Charte (§215).</w:t>
      </w:r>
    </w:p>
    <w:p w14:paraId="473F4212" w14:textId="77777777" w:rsidR="00FA71E0" w:rsidRPr="00FA71E0" w:rsidRDefault="00FA71E0" w:rsidP="00FA71E0">
      <w:r w:rsidRPr="00FA71E0">
        <w:t>Concernant les allégations de violation de l’article 14, la Commission a rappelé que le droit de propriété comprend « le droit de ne pas voir sa propriété envahie ou empiétée ». Elle a également rappelé que l’expropriation devait s’accompagner d’une compensation raisonnablement liée à sa valeur, au risque de constituer une atteinte disproportionnée et injustifiable au droit de propriété (§224). Ainsi, le fait que l’expropriation de la victime n’ait pas suivi les procédures légales et qu'aucune indemnisation ne lui ait été versée constitue une violation de l’article 14 de la Charte.</w:t>
      </w:r>
    </w:p>
    <w:p w14:paraId="2E38711F" w14:textId="3CCEE7FC" w:rsidR="006373C4" w:rsidRPr="00FA71E0" w:rsidRDefault="00FA71E0">
      <w:r w:rsidRPr="00FA71E0">
        <w:t>La Commission a également considéré une violation de l’article 6 du fait de l’impossibilité pour la victime d'accéder à son avocat (§205), ainsi que des violations des articles 10(1), 11 et 13 de la Charte (§219).</w:t>
      </w:r>
    </w:p>
    <w:p w14:paraId="5052E481" w14:textId="49A619EC" w:rsidR="00523EED" w:rsidRPr="00523EED" w:rsidRDefault="00523EED">
      <w:pPr>
        <w:rPr>
          <w:b/>
          <w:bCs/>
          <w:u w:val="single"/>
        </w:rPr>
      </w:pPr>
      <w:r w:rsidRPr="00523EED">
        <w:rPr>
          <w:b/>
          <w:bCs/>
          <w:u w:val="single"/>
        </w:rPr>
        <w:t>7</w:t>
      </w:r>
      <w:r>
        <w:rPr>
          <w:b/>
          <w:bCs/>
          <w:u w:val="single"/>
        </w:rPr>
        <w:t>2</w:t>
      </w:r>
      <w:r w:rsidRPr="00523EED">
        <w:rPr>
          <w:b/>
          <w:bCs/>
          <w:u w:val="single"/>
        </w:rPr>
        <w:t>th ordinary</w:t>
      </w:r>
      <w:r w:rsidR="00714D29">
        <w:rPr>
          <w:b/>
          <w:bCs/>
          <w:u w:val="single"/>
        </w:rPr>
        <w:t xml:space="preserve"> session</w:t>
      </w:r>
      <w:r w:rsidR="00514FFF">
        <w:rPr>
          <w:b/>
          <w:bCs/>
          <w:u w:val="single"/>
        </w:rPr>
        <w:t xml:space="preserve"> (19 juillet/ 2 août 2022)</w:t>
      </w:r>
    </w:p>
    <w:p w14:paraId="0DCCFDA0" w14:textId="4373E579" w:rsidR="00B25E53" w:rsidRDefault="00B25E53">
      <w:pPr>
        <w:rPr>
          <w:u w:val="single"/>
        </w:rPr>
      </w:pPr>
      <w:r w:rsidRPr="00B25E53">
        <w:rPr>
          <w:u w:val="single"/>
        </w:rPr>
        <w:t>Communication 461/13 - Eskinder Nega Fenta and Reyoot Alemu (Represented by Media Legal Defence Initiative and Freedom Now) v. The Federal Democratic Republic of Ethiopia (merits)</w:t>
      </w:r>
      <w:r>
        <w:rPr>
          <w:u w:val="single"/>
        </w:rPr>
        <w:t>, 4 nov 2025, 72th ordinary session</w:t>
      </w:r>
    </w:p>
    <w:p w14:paraId="5937CC67" w14:textId="77777777" w:rsidR="000E4509" w:rsidRPr="000E4509" w:rsidRDefault="000E4509" w:rsidP="000E4509">
      <w:r w:rsidRPr="000E4509">
        <w:lastRenderedPageBreak/>
        <w:t>La plainte a été déposée par deux plaignants, accusant notamment le gouvernement éthiopien de les avoir arrêtés arbitrairement, de leur avoir infligé des mauvais traitements en détention, puis de les avoir fait inculper sur des motifs arbitraires tirés de la Proclamation relative à l’anti-terrorisme n°652/2009. Ils soutenaient que cette proclamation pouvait être utilisée contre les journalistes et les opposants au gouvernement.</w:t>
      </w:r>
    </w:p>
    <w:p w14:paraId="4CA98015" w14:textId="77777777" w:rsidR="000E4509" w:rsidRPr="000E4509" w:rsidRDefault="000E4509" w:rsidP="000E4509">
      <w:r w:rsidRPr="000E4509">
        <w:t>Par ailleurs, la seconde plaignante alléguait ne pas avoir pu bénéficier des soins nécessaires pendant sa détention, à la suite d’une intervention chirurgicale pour un cancer du sein.</w:t>
      </w:r>
    </w:p>
    <w:p w14:paraId="1DA3785A" w14:textId="77777777" w:rsidR="000E4509" w:rsidRPr="000E4509" w:rsidRDefault="000E4509" w:rsidP="000E4509">
      <w:r w:rsidRPr="000E4509">
        <w:t>La communication allègue la violation des articles 7, 9 et 16.</w:t>
      </w:r>
    </w:p>
    <w:p w14:paraId="234CDC8E" w14:textId="77777777" w:rsidR="000E4509" w:rsidRPr="000E4509" w:rsidRDefault="000E4509" w:rsidP="000E4509">
      <w:r w:rsidRPr="000E4509">
        <w:t>S’agissant de la recevabilité, la Commission a établi l’effectivité des recours internes éthiopiens relativement aux procédures des deux plaignants, et a ainsi considéré que le premier plaignant n’avait pas satisfait à l’exigence d’épuisement des voies de recours internes (§86). Tel est en revanche le cas pour la seconde plaignante. De plus, sa communication a été considérée recevable au titre de la condition posée par l’article 56 (7) de la Charte du fait notamment de la nature non judiciaire du Comité de l’UNESCO (§97).</w:t>
      </w:r>
    </w:p>
    <w:p w14:paraId="56B5EE7B" w14:textId="1AD560E8" w:rsidR="000E4509" w:rsidRPr="000E4509" w:rsidRDefault="000E4509" w:rsidP="000E4509">
      <w:r w:rsidRPr="000E4509">
        <w:t xml:space="preserve">S’agissant des violations alléguées de l’article 7, la Commission, s’appuyant sur sa propre jurisprudence ainsi que sur celle du Comité des droits de l’Homme onusien, a considéré que le délai de 76 jours pendant lequel la plaignante n’a pas été informée des motifs de son arrestation constitue une violation de son droit d’être informée </w:t>
      </w:r>
      <w:proofErr w:type="gramStart"/>
      <w:r w:rsidRPr="000E4509">
        <w:t>des charges pesant</w:t>
      </w:r>
      <w:proofErr w:type="gramEnd"/>
      <w:r w:rsidRPr="000E4509">
        <w:t xml:space="preserve"> contre elle et justifiant son arrestation (§136). Rappelant ses </w:t>
      </w:r>
      <w:r w:rsidRPr="000E4509">
        <w:rPr>
          <w:i/>
          <w:iCs/>
        </w:rPr>
        <w:t>Lignes directrices sur les conditions d’arrestation, de garde à vue et de détention provisoire en Afrique</w:t>
      </w:r>
      <w:r w:rsidRPr="000E4509">
        <w:t> (§138), elle a également considéré que le délai entre l’arrestation, la première comparution de la plaignante devant un tribunal et la décision d’appel était exagérément long au regard du droit fondamental à être jugé dans un délai raisonnable (§140). Par ailleurs, l’impossibilité d’accéder à un avocat jusqu’à l’audience préliminaire, puis l’impossibilité d’avoir un entretien privé avec son conseil ont constitué des atteintes au droit de la plaignante à accéder à un avocat (§144). La Commission a également considéré que le droit à la présomption d’innocence (§149) et le droit d’être jugé par un tribunal indépendant (§154), ainsi que celui d’interroger un témoin (§159), avaient été violés.</w:t>
      </w:r>
    </w:p>
    <w:p w14:paraId="1C8AB5AF" w14:textId="3E4C395D" w:rsidR="000E4509" w:rsidRPr="000E4509" w:rsidRDefault="000E4509" w:rsidP="000E4509">
      <w:r w:rsidRPr="000E4509">
        <w:t>S’agissant de l’article 9, la Commission rappelle que la liberté d'expression et d'information, qui comprend « le droit de rechercher, de recevoir et de diffuser des informations et des idées, oralement, par écrit ou sous forme imprimée, sous forme artistique ou par tout autre moyen de communication, y compris à travers les frontières », est un droit humain fondamental et inaliénable ainsi qu'un élément indispensable de la démocratie (§161), dans les limites fixées par l’article 27 de la Charte (§162). La Commission a donc cherché à déterminer si la limitation constatée du droit de la plaignante (§166) l’avait été dans un des cadres fixés par l’article 27. Rappelant les critères exposés dans sa décision </w:t>
      </w:r>
      <w:r w:rsidRPr="000E4509">
        <w:rPr>
          <w:i/>
          <w:iCs/>
        </w:rPr>
        <w:t>OSJI c. Cameroun</w:t>
      </w:r>
      <w:r w:rsidRPr="000E4509">
        <w:t>, la Commission a considéré que plusieurs des dispositions de la Proclamation sur l’anti-terrorisme de 2009 n’étaient pas assez claires, pouvaient le cas échéant être utilisées arbitrairement ou abusivement et ne pouvaient donc constituer une base légale pour une telle limitation (§171). Elle a donc conclu à une violation de l’article 9 (§173).</w:t>
      </w:r>
    </w:p>
    <w:p w14:paraId="1068BB9D" w14:textId="77777777" w:rsidR="000E4509" w:rsidRPr="000E4509" w:rsidRDefault="000E4509" w:rsidP="000E4509">
      <w:r w:rsidRPr="000E4509">
        <w:t>S’agissant finalement de l’article 16, la Commission a rappelé, conformément à ses </w:t>
      </w:r>
      <w:r w:rsidRPr="000E4509">
        <w:rPr>
          <w:i/>
          <w:iCs/>
        </w:rPr>
        <w:t xml:space="preserve">Directives et Principes sur les Droits Economiques, Sociaux et Culturels dans la Charte Africaine des Droits de </w:t>
      </w:r>
      <w:r w:rsidRPr="000E4509">
        <w:rPr>
          <w:i/>
          <w:iCs/>
        </w:rPr>
        <w:lastRenderedPageBreak/>
        <w:t>l'Homme et des Peuples</w:t>
      </w:r>
      <w:r w:rsidRPr="000E4509">
        <w:t>, que les prisonniers et autres personnes détenues devaient bénéficier de conditions d’incarcération décentes comprenant le droit d’accès à du personnel médical (§179). Compte tenu de l’état de santé de la plaignante et de son besoin d’accéder à des soins et des médicaments pendant sa détention, la Commission a considéré que son droit à la santé garanti par l’article 16 avait été violé (§182).</w:t>
      </w:r>
    </w:p>
    <w:p w14:paraId="1CF242FD" w14:textId="77777777" w:rsidR="000E4509" w:rsidRPr="000E4509" w:rsidRDefault="000E4509" w:rsidP="000E4509">
      <w:r w:rsidRPr="000E4509">
        <w:t>La Commission a ainsi enjoint l’État de réparer le préjudice subi par la plaignante et a déclaré la Proclamation de 2009 non conforme aux obligations internationales de l’Éthiopie (§190).</w:t>
      </w:r>
    </w:p>
    <w:p w14:paraId="313A41D7" w14:textId="11C53D67" w:rsidR="00523EED" w:rsidRDefault="00523EED">
      <w:pPr>
        <w:rPr>
          <w:u w:val="single"/>
        </w:rPr>
      </w:pPr>
      <w:r w:rsidRPr="00523EED">
        <w:rPr>
          <w:u w:val="single"/>
        </w:rPr>
        <w:t>Communication 419/12 - The Indigenous Peoples of the Lower Omo (Represented by Survival International Trust) v. The Federal Democratic Republic of Ethiopia (merits)</w:t>
      </w:r>
      <w:r>
        <w:rPr>
          <w:u w:val="single"/>
        </w:rPr>
        <w:t>, 5 nov 2025, 72th ordinary session</w:t>
      </w:r>
    </w:p>
    <w:p w14:paraId="43E381D9" w14:textId="77777777" w:rsidR="008E37C8" w:rsidRPr="008E37C8" w:rsidRDefault="008E37C8" w:rsidP="008E37C8">
      <w:pPr>
        <w:rPr>
          <w:rFonts w:ascii="TimesNewRomanPSMT" w:eastAsia="Times New Roman" w:hAnsi="TimesNewRomanPSMT" w:cs="Times New Roman"/>
          <w:szCs w:val="24"/>
          <w:lang w:eastAsia="fr-FR"/>
        </w:rPr>
      </w:pPr>
      <w:r w:rsidRPr="008E37C8">
        <w:rPr>
          <w:rFonts w:ascii="TimesNewRomanPSMT" w:eastAsia="Times New Roman" w:hAnsi="TimesNewRomanPSMT" w:cs="Times New Roman"/>
          <w:szCs w:val="24"/>
          <w:lang w:eastAsia="fr-FR"/>
        </w:rPr>
        <w:t>La communication a été transmise par la </w:t>
      </w:r>
      <w:r w:rsidRPr="008E37C8">
        <w:rPr>
          <w:rFonts w:ascii="TimesNewRomanPSMT" w:eastAsia="Times New Roman" w:hAnsi="TimesNewRomanPSMT" w:cs="Times New Roman"/>
          <w:i/>
          <w:iCs/>
          <w:szCs w:val="24"/>
          <w:lang w:eastAsia="fr-FR"/>
        </w:rPr>
        <w:t>Survival International Charitable Trust</w:t>
      </w:r>
      <w:r w:rsidRPr="008E37C8">
        <w:rPr>
          <w:rFonts w:ascii="TimesNewRomanPSMT" w:eastAsia="Times New Roman" w:hAnsi="TimesNewRomanPSMT" w:cs="Times New Roman"/>
          <w:szCs w:val="24"/>
          <w:lang w:eastAsia="fr-FR"/>
        </w:rPr>
        <w:t> pour les peuples autochtones de la Vallée de l’Omo, à savoir les peuples </w:t>
      </w:r>
      <w:r w:rsidRPr="008E37C8">
        <w:rPr>
          <w:rFonts w:ascii="TimesNewRomanPSMT" w:eastAsia="Times New Roman" w:hAnsi="TimesNewRomanPSMT" w:cs="Times New Roman"/>
          <w:i/>
          <w:iCs/>
          <w:szCs w:val="24"/>
          <w:lang w:eastAsia="fr-FR"/>
        </w:rPr>
        <w:t xml:space="preserve">Bodi, Dassanech, Hamar, Kara, Kwegu, Mursi </w:t>
      </w:r>
      <w:r w:rsidRPr="008E37C8">
        <w:rPr>
          <w:rFonts w:ascii="TimesNewRomanPSMT" w:eastAsia="Times New Roman" w:hAnsi="TimesNewRomanPSMT" w:cs="Times New Roman"/>
          <w:szCs w:val="24"/>
          <w:lang w:eastAsia="fr-FR"/>
        </w:rPr>
        <w:t>et</w:t>
      </w:r>
      <w:r w:rsidRPr="008E37C8">
        <w:rPr>
          <w:rFonts w:ascii="TimesNewRomanPSMT" w:eastAsia="Times New Roman" w:hAnsi="TimesNewRomanPSMT" w:cs="Times New Roman"/>
          <w:i/>
          <w:iCs/>
          <w:szCs w:val="24"/>
          <w:lang w:eastAsia="fr-FR"/>
        </w:rPr>
        <w:t xml:space="preserve"> Nyangatom</w:t>
      </w:r>
      <w:r w:rsidRPr="008E37C8">
        <w:rPr>
          <w:rFonts w:ascii="TimesNewRomanPSMT" w:eastAsia="Times New Roman" w:hAnsi="TimesNewRomanPSMT" w:cs="Times New Roman"/>
          <w:szCs w:val="24"/>
          <w:lang w:eastAsia="fr-FR"/>
        </w:rPr>
        <w:t>, qui sont des communautés locales distinctes du sud de la zone Omo dans le </w:t>
      </w:r>
      <w:r w:rsidRPr="008E37C8">
        <w:rPr>
          <w:rFonts w:ascii="TimesNewRomanPSMT" w:eastAsia="Times New Roman" w:hAnsi="TimesNewRomanPSMT" w:cs="Times New Roman"/>
          <w:i/>
          <w:iCs/>
          <w:szCs w:val="24"/>
          <w:lang w:eastAsia="fr-FR"/>
        </w:rPr>
        <w:t>Southern Nations, Nationalities and Peoples Regional State of Ethiopia</w:t>
      </w:r>
      <w:r w:rsidRPr="008E37C8">
        <w:rPr>
          <w:rFonts w:ascii="TimesNewRomanPSMT" w:eastAsia="Times New Roman" w:hAnsi="TimesNewRomanPSMT" w:cs="Times New Roman"/>
          <w:szCs w:val="24"/>
          <w:lang w:eastAsia="fr-FR"/>
        </w:rPr>
        <w:t>. Les plaignants allèguent que deux projets de développement, notamment un barrage et un projet sucrier, portaient atteinte aux droits de ces peuples.</w:t>
      </w:r>
    </w:p>
    <w:p w14:paraId="09F92F29" w14:textId="77777777" w:rsidR="008E37C8" w:rsidRPr="008E37C8" w:rsidRDefault="008E37C8" w:rsidP="008E37C8">
      <w:pPr>
        <w:rPr>
          <w:rFonts w:ascii="TimesNewRomanPSMT" w:eastAsia="Times New Roman" w:hAnsi="TimesNewRomanPSMT" w:cs="Times New Roman"/>
          <w:szCs w:val="24"/>
          <w:lang w:eastAsia="fr-FR"/>
        </w:rPr>
      </w:pPr>
      <w:r w:rsidRPr="008E37C8">
        <w:rPr>
          <w:rFonts w:ascii="TimesNewRomanPSMT" w:eastAsia="Times New Roman" w:hAnsi="TimesNewRomanPSMT" w:cs="Times New Roman"/>
          <w:szCs w:val="24"/>
          <w:lang w:eastAsia="fr-FR"/>
        </w:rPr>
        <w:t>La communication allègue la violation des articles 20(1), 21(1), 22(1), et 24 de la Charte Africaine.</w:t>
      </w:r>
    </w:p>
    <w:p w14:paraId="3792FCC1" w14:textId="77777777" w:rsidR="008E37C8" w:rsidRPr="008E37C8" w:rsidRDefault="008E37C8" w:rsidP="008E37C8">
      <w:pPr>
        <w:rPr>
          <w:rFonts w:ascii="TimesNewRomanPSMT" w:eastAsia="Times New Roman" w:hAnsi="TimesNewRomanPSMT" w:cs="Times New Roman"/>
          <w:szCs w:val="24"/>
          <w:lang w:eastAsia="fr-FR"/>
        </w:rPr>
      </w:pPr>
      <w:r w:rsidRPr="008E37C8">
        <w:rPr>
          <w:rFonts w:ascii="TimesNewRomanPSMT" w:eastAsia="Times New Roman" w:hAnsi="TimesNewRomanPSMT" w:cs="Times New Roman"/>
          <w:szCs w:val="24"/>
          <w:lang w:eastAsia="fr-FR"/>
        </w:rPr>
        <w:t>Rappelant sa jurisprudence </w:t>
      </w:r>
      <w:r w:rsidRPr="008E37C8">
        <w:rPr>
          <w:rFonts w:ascii="TimesNewRomanPSMT" w:eastAsia="Times New Roman" w:hAnsi="TimesNewRomanPSMT" w:cs="Times New Roman"/>
          <w:i/>
          <w:iCs/>
          <w:szCs w:val="24"/>
          <w:lang w:eastAsia="fr-FR"/>
        </w:rPr>
        <w:t>Zimbabwe Lawyers for Human Rights c. Zimbabwe</w:t>
      </w:r>
      <w:r w:rsidRPr="008E37C8">
        <w:rPr>
          <w:rFonts w:ascii="TimesNewRomanPSMT" w:eastAsia="Times New Roman" w:hAnsi="TimesNewRomanPSMT" w:cs="Times New Roman"/>
          <w:szCs w:val="24"/>
          <w:lang w:eastAsia="fr-FR"/>
        </w:rPr>
        <w:t>, la Commission a réaffirmé que la charge de la preuve de l’effectivité des voies de recours internes reposait sur l’État défendeur (§56).</w:t>
      </w:r>
    </w:p>
    <w:p w14:paraId="1CF74F2F" w14:textId="77777777" w:rsidR="008E37C8" w:rsidRPr="008E37C8" w:rsidRDefault="008E37C8" w:rsidP="008E37C8">
      <w:pPr>
        <w:rPr>
          <w:rFonts w:ascii="TimesNewRomanPSMT" w:eastAsia="Times New Roman" w:hAnsi="TimesNewRomanPSMT" w:cs="Times New Roman"/>
          <w:szCs w:val="24"/>
          <w:lang w:eastAsia="fr-FR"/>
        </w:rPr>
      </w:pPr>
      <w:r w:rsidRPr="008E37C8">
        <w:rPr>
          <w:rFonts w:ascii="TimesNewRomanPSMT" w:eastAsia="Times New Roman" w:hAnsi="TimesNewRomanPSMT" w:cs="Times New Roman"/>
          <w:szCs w:val="24"/>
          <w:lang w:eastAsia="fr-FR"/>
        </w:rPr>
        <w:t>La communication a été déclarée recevable. Pour ce faire, la Commission a ainsi considéré que si elle ne mettait pas en doute l'existence d'une loi nationale d'application spécifiquement conçue pour mettre en œuvre les dispositions constitutionnelles en faveur des éleveurs, son application n’était pas quant à elle certaine (§61). Elle a par ailleurs rappelé que le terme « voies de recours internes » correspond à des recours de nature judiciaire et ne comprend donc pas la Commission Éthiopienne des droits de l’Homme (§64). Elle a par ailleurs considéré, du fait de l’indigence des populations concernées, que l’impossibilité pour les ONG de représenter les victimes devant les tribunaux nationaux et l’absence d’aide juridique gratuite ne pouvait justifier d’imposer à ces populations l’épuisement des voies de recours internes (§71). Ce faisant, la simple mention de ces voies, sans montrer leur effectivité, ne permet pas de considérer que l’État a rempli sa charge de démontrer la disponibilité, l’effectivité et la suffisance de telles voies (§74). La communication est donc recevable (§76).</w:t>
      </w:r>
    </w:p>
    <w:p w14:paraId="56A57419" w14:textId="77777777" w:rsidR="008E37C8" w:rsidRPr="008E37C8" w:rsidRDefault="008E37C8" w:rsidP="008E37C8">
      <w:pPr>
        <w:rPr>
          <w:rFonts w:ascii="TimesNewRomanPSMT" w:eastAsia="Times New Roman" w:hAnsi="TimesNewRomanPSMT" w:cs="Times New Roman"/>
          <w:szCs w:val="24"/>
          <w:lang w:eastAsia="fr-FR"/>
        </w:rPr>
      </w:pPr>
      <w:r w:rsidRPr="008E37C8">
        <w:rPr>
          <w:rFonts w:ascii="TimesNewRomanPSMT" w:eastAsia="Times New Roman" w:hAnsi="TimesNewRomanPSMT" w:cs="Times New Roman"/>
          <w:szCs w:val="24"/>
          <w:lang w:eastAsia="fr-FR"/>
        </w:rPr>
        <w:t>Considérant que la communication allègue la violation de droits collectifs, la Commission rappelle que les droits des peuples sont aussi importants que ceux des individus dans la Charte et que de ce fait, il était tout à fait cohérent de considérer que des populations autochtones avaient été victimes de violations de leurs droits par l’État défendeur (§165). La Commission rappelle ainsi que des communautés peuvent être qualifiées de « peuples » dans la Charte si elles sont liées par « leurs identités et affinités historiques, traditionnelles, raciales, ethniques, culturelles, linguistiques, religieuses, idéologiques, géographiques, économiques ou par d'autres liens »[1] (§170).</w:t>
      </w:r>
    </w:p>
    <w:p w14:paraId="2463BB80" w14:textId="77777777" w:rsidR="008E37C8" w:rsidRPr="008E37C8" w:rsidRDefault="008E37C8" w:rsidP="008E37C8">
      <w:pPr>
        <w:rPr>
          <w:rFonts w:ascii="TimesNewRomanPSMT" w:eastAsia="Times New Roman" w:hAnsi="TimesNewRomanPSMT" w:cs="Times New Roman"/>
          <w:szCs w:val="24"/>
          <w:lang w:eastAsia="fr-FR"/>
        </w:rPr>
      </w:pPr>
      <w:r w:rsidRPr="008E37C8">
        <w:rPr>
          <w:rFonts w:ascii="TimesNewRomanPSMT" w:eastAsia="Times New Roman" w:hAnsi="TimesNewRomanPSMT" w:cs="Times New Roman"/>
          <w:szCs w:val="24"/>
          <w:lang w:eastAsia="fr-FR"/>
        </w:rPr>
        <w:lastRenderedPageBreak/>
        <w:t>La Commission rappelle néanmoins que s’agissant de la détermination de la nature de peuple d’un collectif, l'absence de contestation entre les parties ne suffit pas pour conclure qu'elles le sont. Il est nécessaire de faire un examen objectif pour établir une telle qualification (§177). La Commission a ainsi qualifié les 7 peuples en cause de « peuples » (§180). Elle a par ailleurs rappelé que le qualificatif d’« autochtone » a fait l’objet de 4 critères de détermination par le Groupe de travail sur les populations indigènes (§184), auxquels correspondent les peuples victimes (§186).</w:t>
      </w:r>
    </w:p>
    <w:p w14:paraId="211CDDDE" w14:textId="77777777" w:rsidR="008E37C8" w:rsidRPr="008E37C8" w:rsidRDefault="008E37C8" w:rsidP="008E37C8">
      <w:pPr>
        <w:rPr>
          <w:rFonts w:ascii="TimesNewRomanPSMT" w:eastAsia="Times New Roman" w:hAnsi="TimesNewRomanPSMT" w:cs="Times New Roman"/>
          <w:szCs w:val="24"/>
          <w:lang w:eastAsia="fr-FR"/>
        </w:rPr>
      </w:pPr>
      <w:r w:rsidRPr="008E37C8">
        <w:rPr>
          <w:rFonts w:ascii="TimesNewRomanPSMT" w:eastAsia="Times New Roman" w:hAnsi="TimesNewRomanPSMT" w:cs="Times New Roman"/>
          <w:szCs w:val="24"/>
          <w:lang w:eastAsia="fr-FR"/>
        </w:rPr>
        <w:t>S’agissant de l’article 20(1), la Commission a rappelé que le droit d’autodétermination garanti aux peuples autochtones par la Charte africaine ne peut s’exercer que dans le cadre de la souveraineté et de l’intégrité territoriale des États parties (§187), mais consiste notamment dans leur participation et leur droit à consentir aux décisions ayant un impact direct sur leurs droits et intérêts (§188). Par ailleurs, s’inspirant de nombreux instruments et décisions internationaux[2], la Commission rappelle que le droit de déterminer librement son développement économique et social n’implique pas que la consultation, mais également le consentement « libre, préalable et éclairé des peuples autochtones » (§202). Rappelant que, procéduralement, la « simple consultation de quelques chefs de village, administrateurs politiques et représentants traditionnels ne constitue pas en soi une consultation suffisante si elle ne débouche pas sur une participation effective des communautés autochtones elles-mêmes, y compris les femmes, les personnes handicapées et les personnes âgées » (§211), la Commission a pourtant considéré que les preuves n’ont pas permis de considérer que les peuples de la Vallée de l’Omo n’avaient pas pu exercer leur droit à l’autodétermination (§215).</w:t>
      </w:r>
    </w:p>
    <w:p w14:paraId="6B78423F" w14:textId="77777777" w:rsidR="008E37C8" w:rsidRPr="008E37C8" w:rsidRDefault="008E37C8" w:rsidP="008E37C8">
      <w:pPr>
        <w:rPr>
          <w:rFonts w:ascii="TimesNewRomanPSMT" w:eastAsia="Times New Roman" w:hAnsi="TimesNewRomanPSMT" w:cs="Times New Roman"/>
          <w:szCs w:val="24"/>
          <w:lang w:eastAsia="fr-FR"/>
        </w:rPr>
      </w:pPr>
      <w:r w:rsidRPr="008E37C8">
        <w:rPr>
          <w:rFonts w:ascii="TimesNewRomanPSMT" w:eastAsia="Times New Roman" w:hAnsi="TimesNewRomanPSMT" w:cs="Times New Roman"/>
          <w:szCs w:val="24"/>
          <w:lang w:eastAsia="fr-FR"/>
        </w:rPr>
        <w:t>S’agissant de l’article 21(1), la Commission a considéré les crues annuelles comme une ressource naturelle (§224). Cela implique donc d’un côté le droit pour les peuples autochtones de participer aux décisions sur leurs ressources naturelles, ainsi que l’obligation pour les États de garantir une gestion durable des ressources par et pour les peuples et dans l’intérêt des populations (§225). Ce faisant, la Commission a non seulement considéré qu’il n’y avait pas de preuve que les peuples Omo soient opposés aux projets en cause, mais également que les mesures d’atténuation mises en place par l’Éthiopie pour permettre l’accès à l’irrigation et à des crues annuelles contrôlées n'avaient pas pour conséquences la perte des modes de vie traditionnels (§231).</w:t>
      </w:r>
    </w:p>
    <w:p w14:paraId="7F92585A" w14:textId="77777777" w:rsidR="008E37C8" w:rsidRPr="008E37C8" w:rsidRDefault="008E37C8" w:rsidP="008E37C8">
      <w:pPr>
        <w:rPr>
          <w:rFonts w:ascii="TimesNewRomanPSMT" w:eastAsia="Times New Roman" w:hAnsi="TimesNewRomanPSMT" w:cs="Times New Roman"/>
          <w:szCs w:val="24"/>
          <w:lang w:eastAsia="fr-FR"/>
        </w:rPr>
      </w:pPr>
      <w:r w:rsidRPr="008E37C8">
        <w:rPr>
          <w:rFonts w:ascii="TimesNewRomanPSMT" w:eastAsia="Times New Roman" w:hAnsi="TimesNewRomanPSMT" w:cs="Times New Roman"/>
          <w:szCs w:val="24"/>
          <w:lang w:eastAsia="fr-FR"/>
        </w:rPr>
        <w:t>S’agissant de l’article 22(1), la Commission rappelle que le droit au développement économique, social et culturel est constitué à la fois d’un aspect substantiel et d’un aspect procédural (§236). La Commission a donc considéré d’une part que son aspect substantiel était garanti par l’État défendeur dans la mesure où ce droit était protégé par la loi, en l’espèce la Constitution Éthiopienne (§248), et que son aspect procédural l’était également dans la mesure où la démonstration de l’impossibilité pour les peuples de la Vallée de l’Omo de participer aux décisions n’avait pas été apportée (§249).</w:t>
      </w:r>
    </w:p>
    <w:p w14:paraId="2C54836F" w14:textId="77777777" w:rsidR="008E37C8" w:rsidRPr="008E37C8" w:rsidRDefault="008E37C8" w:rsidP="008E37C8">
      <w:pPr>
        <w:rPr>
          <w:rFonts w:ascii="TimesNewRomanPSMT" w:eastAsia="Times New Roman" w:hAnsi="TimesNewRomanPSMT" w:cs="Times New Roman"/>
          <w:szCs w:val="24"/>
          <w:lang w:eastAsia="fr-FR"/>
        </w:rPr>
      </w:pPr>
      <w:r w:rsidRPr="008E37C8">
        <w:rPr>
          <w:rFonts w:ascii="TimesNewRomanPSMT" w:eastAsia="Times New Roman" w:hAnsi="TimesNewRomanPSMT" w:cs="Times New Roman"/>
          <w:szCs w:val="24"/>
          <w:lang w:eastAsia="fr-FR"/>
        </w:rPr>
        <w:t>S’agissant du droit des peuples à un environnement sain garanti par l’article 24, la Commission a rappelé que ce droit comprenait également une obligation pour les États parties de prendre des mesures pour éviter les dégradations environnementales et promouvoir des modes de gestion durable (§254). Or, celle-ci a indiqué n’avoir reçu aucune preuve suffisante que les projets en cause affecteraient la couverture végétale ou l’accès à l’eau pour les peuples Omo (§260).</w:t>
      </w:r>
    </w:p>
    <w:p w14:paraId="76F08EA5" w14:textId="56A67938" w:rsidR="006779A7" w:rsidRPr="00070897" w:rsidRDefault="00714D29">
      <w:pPr>
        <w:rPr>
          <w:u w:val="single"/>
        </w:rPr>
      </w:pPr>
      <w:r w:rsidRPr="00714D29">
        <w:rPr>
          <w:u w:val="single"/>
        </w:rPr>
        <w:lastRenderedPageBreak/>
        <w:t>Communication 454/13 - Nde Ningo (Representee par TITANJI DUGA Ernest) c. La Republique de Cameroun (merits)</w:t>
      </w:r>
      <w:r>
        <w:rPr>
          <w:u w:val="single"/>
        </w:rPr>
        <w:t>, 24 nov 2025, 72 ordinary session</w:t>
      </w:r>
    </w:p>
    <w:p w14:paraId="246175C3" w14:textId="77777777" w:rsidR="00F75810" w:rsidRPr="00F75810" w:rsidRDefault="00F75810" w:rsidP="00F75810">
      <w:r w:rsidRPr="00F75810">
        <w:t>En l’espèce, la victime est un ancien fonctionnaire accusé de détournement de fonds publics, placé en détention préventive pendant quatre années, puis acquitté, sans être réintégré ni se voir payer ses arriérés de salaire sur la durée de sa détention.</w:t>
      </w:r>
    </w:p>
    <w:p w14:paraId="49EF6FDD" w14:textId="77777777" w:rsidR="00F75810" w:rsidRPr="00F75810" w:rsidRDefault="00F75810" w:rsidP="00F75810">
      <w:r w:rsidRPr="00F75810">
        <w:t>Le plaignant allègue la violation des articles 3(2), 5, 6, 7(1) de la Charte Africaine et de l’article 9(5) du PIDCP.</w:t>
      </w:r>
    </w:p>
    <w:p w14:paraId="01A349B4" w14:textId="77777777" w:rsidR="00F75810" w:rsidRPr="00F75810" w:rsidRDefault="00F75810" w:rsidP="00F75810">
      <w:r w:rsidRPr="00F75810">
        <w:t>S’agissant de la recevabilité, et à défaut d’observations transmises par l’État défendeur, la Commission s’est contentée de constater que l’affaire a été pendante pendant sept ans devant les juridictions internes, et que de ce fait, l’anormalité des délais n’obligeait pas le plaignant à épuiser les voies de recours internes (§43).</w:t>
      </w:r>
    </w:p>
    <w:p w14:paraId="704F3EC0" w14:textId="77777777" w:rsidR="00F75810" w:rsidRPr="00F75810" w:rsidRDefault="00F75810" w:rsidP="00F75810">
      <w:r w:rsidRPr="00F75810">
        <w:t>La Commission a tenu à rappeler à titre préliminaire que, contrairement à la Cour, elle n’est compétente que sur les dispositions de la Charte et ne peut donc apprécier la violation de dispositions du PIDCP (§88). Elle a en revanche rappelé que, conformément à l’article 60, elle peut s’inspirer dans l’interprétation de la Charte d’autres textes ou éléments relatifs au droit international des droits de l’Homme (§90).</w:t>
      </w:r>
    </w:p>
    <w:p w14:paraId="2B274D14" w14:textId="19F5A2D2" w:rsidR="00F75810" w:rsidRPr="00F75810" w:rsidRDefault="00F75810" w:rsidP="00F75810">
      <w:r w:rsidRPr="00F75810">
        <w:t>Ainsi, concernant la violation alléguée de l’article 3(2), la Commission a rappelé que « pour qu’il y ait violation de l’article 3 de la Charte africaine, il doit être démontré que la victime de la violation alléguée n’a pas bénéficié d’une même protection ou d’un même traitement que ceux normalement accordés à d’autres personnes dans des circonstances similaires » (§93). La Commission n’a pas constaté que des preuves d’une telle différence de traitement lui avaient été soumises (§100). Elle n’a pas non plus accueilli les moyens du plaignant relativement à une violation de l’article 5 (§123).</w:t>
      </w:r>
    </w:p>
    <w:p w14:paraId="1DC4CAEA" w14:textId="6D912BCB" w:rsidR="00F75810" w:rsidRPr="00F75810" w:rsidRDefault="00F75810" w:rsidP="00F75810">
      <w:r w:rsidRPr="00F75810">
        <w:t>En revanche, la Commission a considéré que l’article 6 avait été violé du fait que la durée de quatre ans de la détention préventive a été abusive (§131). Rejoignant ses conclusions sur la recevabilité, la Commission a considéré que le fait que douze ans après son introduction la requête du plaignant était toujours pendante constituait une violation de son droit à faire appel devant les juridictions compétentes (§138). De plus, rappelant que la présomption d’innocence implique également la nécessité de déterminer le plus rapidement possible si une personne est coupable ou non (§141), la détention préventive de quatre ans subie par le requérant a été considérée par la Commission comme une présomption de culpabilité. Ainsi, « la longévité de la procédure de détention préventive, quelle que soit l'issue du procès, est considérée comme une peine avant le prononcé du jugement » (§143). La Commission a ainsi confirmé qu’aucune circonstance en l’espèce ne pouvait justifier une détention préventive de quatre ans (§148).</w:t>
      </w:r>
    </w:p>
    <w:p w14:paraId="21A933E6" w14:textId="77777777" w:rsidR="00F75810" w:rsidRPr="00F75810" w:rsidRDefault="00F75810" w:rsidP="00F75810">
      <w:r w:rsidRPr="00F75810">
        <w:t>S’agissant des réparations, la Commission a accueilli les demandes du plaignant notamment relativement au paiement de ses arriérés de salaire et d’un intérêt sur ses arriérés (§159).</w:t>
      </w:r>
    </w:p>
    <w:p w14:paraId="40D8C23B" w14:textId="43981705" w:rsidR="00714D29" w:rsidRDefault="00714D29">
      <w:pPr>
        <w:rPr>
          <w:u w:val="single"/>
        </w:rPr>
      </w:pPr>
      <w:r w:rsidRPr="00714D29">
        <w:rPr>
          <w:u w:val="single"/>
        </w:rPr>
        <w:t>Communication 650/17 - Kum Bezeng and 75 Others (Represented by Professor Carlson Anyangwe) v. The Republic of Cameroon (inadmissible)</w:t>
      </w:r>
      <w:r w:rsidR="00AA338F">
        <w:rPr>
          <w:u w:val="single"/>
        </w:rPr>
        <w:t>, 24 nov 2025, 72th ordinary session.</w:t>
      </w:r>
    </w:p>
    <w:p w14:paraId="2817A8CD" w14:textId="5712B1FF" w:rsidR="00853F91" w:rsidRPr="00853F91" w:rsidRDefault="00853F91" w:rsidP="00853F91">
      <w:r w:rsidRPr="00853F91">
        <w:lastRenderedPageBreak/>
        <w:t>En l’espèce, la Communication affirme que le processus de décolonisation n’a pas été mené à son terme s’agissant du Cameroun du Sud, dans la mesure </w:t>
      </w:r>
      <w:r w:rsidRPr="00853F91">
        <w:rPr>
          <w:b/>
          <w:bCs/>
        </w:rPr>
        <w:t>où</w:t>
      </w:r>
      <w:r w:rsidRPr="00853F91">
        <w:t>, selon les plaignants, le colonialisme britannique a été remplacé par celui de la République du Cameroun après le transfert de la souveraineté à cette dernière sur les territoires du Cameroun du Sud (§13). Ils allèguent de violences massives commises à l’encontre des populations et des activistes indépendantistes anglophones (§31).</w:t>
      </w:r>
    </w:p>
    <w:p w14:paraId="2EB38A34" w14:textId="77777777" w:rsidR="00853F91" w:rsidRPr="00853F91" w:rsidRDefault="00853F91" w:rsidP="00853F91">
      <w:r w:rsidRPr="00853F91">
        <w:t>S’agissant de la recevabilité, la Commission a considéré que la demande formulée par les plaignants d’enjoindre la République du Cameroun à retirer sa présence militaire sur tout le territoire de l’ancien Cameroun du Sud porterait atteinte à l’article 3(b) de l’Acte Constitutif de l’Union africaine, protégeant la souveraineté et l’intégrité territoriale des États parties. Cette demande se trouvait, ce faisant, en non-conformité avec le critère posé par l’article 56(2) de la Charte (§96).</w:t>
      </w:r>
    </w:p>
    <w:p w14:paraId="501E6AA0" w14:textId="147DAEE1" w:rsidR="00523EED" w:rsidRDefault="00523EED">
      <w:pPr>
        <w:rPr>
          <w:b/>
          <w:bCs/>
          <w:u w:val="single"/>
        </w:rPr>
      </w:pPr>
      <w:r w:rsidRPr="00523EED">
        <w:rPr>
          <w:b/>
          <w:bCs/>
          <w:u w:val="single"/>
        </w:rPr>
        <w:t>73th ordinary</w:t>
      </w:r>
      <w:r w:rsidR="003B0638">
        <w:rPr>
          <w:b/>
          <w:bCs/>
          <w:u w:val="single"/>
        </w:rPr>
        <w:t xml:space="preserve"> (21 octobre/ 10 novembre 2022)</w:t>
      </w:r>
    </w:p>
    <w:p w14:paraId="531D8D59" w14:textId="46333B82" w:rsidR="00523EED" w:rsidRDefault="00523EED">
      <w:pPr>
        <w:rPr>
          <w:u w:val="single"/>
        </w:rPr>
      </w:pPr>
      <w:r w:rsidRPr="00523EED">
        <w:rPr>
          <w:u w:val="single"/>
        </w:rPr>
        <w:t>Communication 627/16 - Essam Ahmed Mahmoud El-Haddad (represented by Abdullah Ahmad Mohammad Al-Haddad and the Alliance for Human Rights) v. Egypt (inadmissible)</w:t>
      </w:r>
      <w:r>
        <w:rPr>
          <w:u w:val="single"/>
        </w:rPr>
        <w:t>, 5 nov 2025, 73th ordinary</w:t>
      </w:r>
    </w:p>
    <w:p w14:paraId="2633904C" w14:textId="125BB378" w:rsidR="00F57B7A" w:rsidRDefault="00F57B7A">
      <w:r>
        <w:t>Disparition forcée de la victime le 3 juillet 2013. Sa famille n’a appris son lieu de détention qu’après 164 jours (§3).</w:t>
      </w:r>
      <w:r w:rsidR="00077B3A">
        <w:t xml:space="preserve"> La communication allègue que la victime a été maintenu</w:t>
      </w:r>
      <w:r w:rsidR="00853F91">
        <w:t>e</w:t>
      </w:r>
      <w:r w:rsidR="00077B3A">
        <w:t xml:space="preserve"> en détention puis traduite devant une Cour spéciale, puis condamné</w:t>
      </w:r>
      <w:r w:rsidR="00853F91">
        <w:t>e</w:t>
      </w:r>
      <w:r w:rsidR="00077B3A">
        <w:t xml:space="preserve"> à la réclusion à perpétuité. La communication allègue également de torture</w:t>
      </w:r>
      <w:r w:rsidR="00853F91">
        <w:t>s</w:t>
      </w:r>
      <w:r w:rsidR="00077B3A">
        <w:t xml:space="preserve"> et de traitements inhumains et dégradants. </w:t>
      </w:r>
    </w:p>
    <w:p w14:paraId="4412F333" w14:textId="7CE5C02B" w:rsidR="00305614" w:rsidRPr="00F57B7A" w:rsidRDefault="00305614">
      <w:r>
        <w:t>S’agissant de la recevabilité, la Commission a considéré que la communication n’avait</w:t>
      </w:r>
      <w:r w:rsidR="00853F91">
        <w:t xml:space="preserve"> </w:t>
      </w:r>
      <w:r>
        <w:t xml:space="preserve">pas </w:t>
      </w:r>
      <w:r w:rsidR="00853F91">
        <w:t xml:space="preserve">satisfait </w:t>
      </w:r>
      <w:r>
        <w:t>à l’obligation d’épuisement des voies de recours internes (§47), ainsi qu’à l’obligation de déposer la communication dans un délai raisonnable (§55)</w:t>
      </w:r>
    </w:p>
    <w:p w14:paraId="377F79FF" w14:textId="100E22DE" w:rsidR="00523EED" w:rsidRDefault="00523EED">
      <w:pPr>
        <w:rPr>
          <w:u w:val="single"/>
        </w:rPr>
      </w:pPr>
      <w:r w:rsidRPr="00523EED">
        <w:rPr>
          <w:u w:val="single"/>
        </w:rPr>
        <w:t>Communication 589/15 - Johannes Jurie Botha v. Mauritius (inadmissible)</w:t>
      </w:r>
      <w:r>
        <w:rPr>
          <w:u w:val="single"/>
        </w:rPr>
        <w:t xml:space="preserve">, 5 nov 2025, </w:t>
      </w:r>
      <w:r w:rsidR="006A4286">
        <w:rPr>
          <w:u w:val="single"/>
        </w:rPr>
        <w:t>73th ordinary.</w:t>
      </w:r>
    </w:p>
    <w:p w14:paraId="71C4F5FE" w14:textId="602D601B" w:rsidR="00022FE6" w:rsidRDefault="00022FE6">
      <w:r>
        <w:t>Le plaignant est un ressortissant Sud-Africain, arrêté par les autorités mauriciennes car il était suspecté de traf</w:t>
      </w:r>
      <w:r w:rsidR="003B0638">
        <w:t>i</w:t>
      </w:r>
      <w:r>
        <w:t>c d’</w:t>
      </w:r>
      <w:r w:rsidR="003B0638">
        <w:t>héroïne</w:t>
      </w:r>
      <w:r>
        <w:t xml:space="preserve">. Il allègue avoir été interpellé puis mis en détention et n’avoir été </w:t>
      </w:r>
      <w:r w:rsidR="003B0638">
        <w:t>informé</w:t>
      </w:r>
      <w:r w:rsidR="0057373E">
        <w:t xml:space="preserve"> des charges pesant</w:t>
      </w:r>
      <w:r w:rsidR="003B0638">
        <w:t xml:space="preserve"> </w:t>
      </w:r>
      <w:r w:rsidR="0057373E">
        <w:t>contre lui que 20 jours après son arrestation. Il allègue de la violation de plusieurs de ses droits notamment à la défense, ou à ce que sa cause soit entendue.</w:t>
      </w:r>
    </w:p>
    <w:p w14:paraId="701900CF" w14:textId="681E1EF3" w:rsidR="0057373E" w:rsidRDefault="0057373E">
      <w:r>
        <w:t xml:space="preserve">S’agissant de la recevabilité la Commission a rappelé que le statut d’indigent n’est caractérisable </w:t>
      </w:r>
      <w:r w:rsidR="00E55252">
        <w:t>que dans le cas o</w:t>
      </w:r>
      <w:r w:rsidR="003B0638">
        <w:t>ù</w:t>
      </w:r>
      <w:r w:rsidR="00E55252">
        <w:t xml:space="preserve"> l’indigence est démontrée et que l’indisponibilité de l’aide légal</w:t>
      </w:r>
      <w:r w:rsidR="003B0638">
        <w:t>e</w:t>
      </w:r>
      <w:r w:rsidR="00E55252">
        <w:t xml:space="preserve"> dans l’État défendeur est prouvée (§75). La Commission n’a donc pas accueilli les moyens du requérant selon le</w:t>
      </w:r>
      <w:r w:rsidR="003B0638">
        <w:t>s</w:t>
      </w:r>
      <w:r w:rsidR="00E55252">
        <w:t>quel</w:t>
      </w:r>
      <w:r w:rsidR="003B0638">
        <w:t>s</w:t>
      </w:r>
      <w:r w:rsidR="00E55252">
        <w:t xml:space="preserve"> celui-ci devait être exonéré d</w:t>
      </w:r>
      <w:r w:rsidR="003B0638">
        <w:t>e l’</w:t>
      </w:r>
      <w:r w:rsidR="00E55252">
        <w:t>épuisement des voies de recours internes dans la mesure où celui-ci n’a pas démontré son indigence (</w:t>
      </w:r>
      <w:r w:rsidR="00142049">
        <w:t>§80)</w:t>
      </w:r>
      <w:r w:rsidR="00E55252">
        <w:t>.</w:t>
      </w:r>
    </w:p>
    <w:p w14:paraId="054571FF" w14:textId="68CDD75D" w:rsidR="00142049" w:rsidRPr="00305614" w:rsidRDefault="00142049">
      <w:r>
        <w:t xml:space="preserve">La communication a également été déclarée irrecevable au motif qu’elle ne remplissait pas </w:t>
      </w:r>
      <w:r w:rsidR="003B0638">
        <w:t>les</w:t>
      </w:r>
      <w:r>
        <w:t xml:space="preserve"> conditions prévues par l’article 56(6) (§85).</w:t>
      </w:r>
    </w:p>
    <w:p w14:paraId="36A79D36" w14:textId="68A04F45" w:rsidR="006A4286" w:rsidRDefault="006A4286">
      <w:pPr>
        <w:rPr>
          <w:u w:val="single"/>
        </w:rPr>
      </w:pPr>
      <w:r w:rsidRPr="006A4286">
        <w:rPr>
          <w:u w:val="single"/>
        </w:rPr>
        <w:lastRenderedPageBreak/>
        <w:t>Communication 731/19 - Dorah Namasiku Likukela v. Zambia (inadmissible)</w:t>
      </w:r>
      <w:r>
        <w:rPr>
          <w:u w:val="single"/>
        </w:rPr>
        <w:t>, 5 nov 2025 73th ordinary</w:t>
      </w:r>
    </w:p>
    <w:p w14:paraId="3BFB220B" w14:textId="5D2EA8E3" w:rsidR="003B0638" w:rsidRDefault="003B0638">
      <w:r w:rsidRPr="003B0638">
        <w:t>La victime affirme avoir fait l’objet de harcèlement et de représailles ayant notamment mené à l’assassinat de sa fille par la police zambienne, ainsi qu’à de nombreux autres traitements </w:t>
      </w:r>
      <w:r>
        <w:t xml:space="preserve">attentatoires à </w:t>
      </w:r>
      <w:r w:rsidRPr="003B0638">
        <w:t>ses droits.</w:t>
      </w:r>
    </w:p>
    <w:p w14:paraId="1A1A63D0" w14:textId="6548FC12" w:rsidR="00D63EE0" w:rsidRPr="00D63EE0" w:rsidRDefault="00057828">
      <w:r>
        <w:t xml:space="preserve">La Commission a considéré que la communication ne remplissait </w:t>
      </w:r>
      <w:r w:rsidR="003B0638">
        <w:t>pas les</w:t>
      </w:r>
      <w:r>
        <w:t xml:space="preserve"> conditions de recevabilité posées par les articles 56(5) et 56(6). </w:t>
      </w:r>
    </w:p>
    <w:p w14:paraId="42EC1BD2" w14:textId="5A5B2E29" w:rsidR="00F51F18" w:rsidRDefault="00F51F18">
      <w:pPr>
        <w:rPr>
          <w:b/>
          <w:bCs/>
          <w:u w:val="single"/>
        </w:rPr>
      </w:pPr>
      <w:r>
        <w:rPr>
          <w:b/>
          <w:bCs/>
          <w:u w:val="single"/>
        </w:rPr>
        <w:t>74th ordinary public</w:t>
      </w:r>
    </w:p>
    <w:p w14:paraId="59306C5F" w14:textId="6230888A" w:rsidR="00F51F18" w:rsidRDefault="00F51F18">
      <w:pPr>
        <w:rPr>
          <w:u w:val="single"/>
        </w:rPr>
      </w:pPr>
      <w:r w:rsidRPr="00F51F18">
        <w:rPr>
          <w:u w:val="single"/>
        </w:rPr>
        <w:t>Communication 455/13 - Abubaker Ahmed Mohamed and 28 Others (represented by X and Y) v. Ethiopia (merits)</w:t>
      </w:r>
      <w:r>
        <w:rPr>
          <w:u w:val="single"/>
        </w:rPr>
        <w:t xml:space="preserve">, 18 nov 2025, 74th public ordinary </w:t>
      </w:r>
    </w:p>
    <w:p w14:paraId="3EE3FB91" w14:textId="1C4F8F77" w:rsidR="00EC136D" w:rsidRPr="00A90FC1" w:rsidRDefault="00636682">
      <w:r w:rsidRPr="00636682">
        <w:t xml:space="preserve">Les plaignants allèguent que l'État défendeur porte atteinte à l'autonomie religieuse des musulmans éthiopiens depuis juillet 2011. À cet égard, le gouvernement a soutenu et imposé une secte libanaise connue sous le nom </w:t>
      </w:r>
      <w:r w:rsidRPr="005D4537">
        <w:rPr>
          <w:i/>
          <w:iCs/>
        </w:rPr>
        <w:t>d'Ahbash</w:t>
      </w:r>
      <w:r w:rsidRPr="00636682">
        <w:t xml:space="preserve"> à la communauté musulmane d'Éthiopie en imposant une formation coercitive à des milliers d'imams, d'érudits, de dirigeants et d'autres personnalités religieuses musulmans </w:t>
      </w:r>
      <w:r w:rsidR="00A90FC1">
        <w:t>(§3)</w:t>
      </w:r>
      <w:r>
        <w:t xml:space="preserve">. Des représailles ont été exercées </w:t>
      </w:r>
      <w:r w:rsidR="00A90FC1">
        <w:t>sur ceux qui s’y sont opposé</w:t>
      </w:r>
      <w:r w:rsidR="005D4537">
        <w:t>s</w:t>
      </w:r>
      <w:r w:rsidR="00A90FC1">
        <w:t xml:space="preserve"> </w:t>
      </w:r>
      <w:r>
        <w:t>ainsi que des</w:t>
      </w:r>
      <w:r w:rsidR="00A90FC1">
        <w:t xml:space="preserve"> arrestations arbitraires et </w:t>
      </w:r>
      <w:r>
        <w:t xml:space="preserve">des </w:t>
      </w:r>
      <w:r w:rsidR="00A90FC1">
        <w:t>mauvais traitements</w:t>
      </w:r>
      <w:r>
        <w:t xml:space="preserve"> en détention particulièrement</w:t>
      </w:r>
      <w:r w:rsidR="00A90FC1">
        <w:t xml:space="preserve"> à partir de juillet 2012 (§6).</w:t>
      </w:r>
    </w:p>
    <w:p w14:paraId="0FD7A68A" w14:textId="52A078A1" w:rsidR="00EC136D" w:rsidRDefault="0069136F">
      <w:r>
        <w:t xml:space="preserve">S’agissant de la recevabilité l’État défendeur n’a étayé ses moyens relatifs à l’irrecevabilité de la demande qu’au titre de l’article 56(5). Rappelant sa jurisprudence dans l’affaire </w:t>
      </w:r>
      <w:r>
        <w:rPr>
          <w:i/>
          <w:iCs/>
        </w:rPr>
        <w:t>Anuak Justice Council v. Ethiopia, </w:t>
      </w:r>
      <w:r>
        <w:t>la Commission « </w:t>
      </w:r>
      <w:r w:rsidRPr="0069136F">
        <w:t>a précisé que la question sous-jacente visant à déterminer si la communication actuelle est toujours en instance au niveau national consiste à examiner l'objet de la procédure devant la Commission et à déterminer si elle vise à accorder la même réparation que celle demandée par les plaignants devant la Commission.</w:t>
      </w:r>
      <w:r>
        <w:t> » (§112). Elle a considéré que tel n’était pas le cas dans la mesure o</w:t>
      </w:r>
      <w:r w:rsidR="005D4537">
        <w:t>ù</w:t>
      </w:r>
      <w:r>
        <w:t xml:space="preserve"> les requérants font l’objet dans l’ordre interne d’une procédure pénale et que leur demande vise ici</w:t>
      </w:r>
      <w:r w:rsidR="005D4537">
        <w:t>,</w:t>
      </w:r>
      <w:r>
        <w:t xml:space="preserve"> </w:t>
      </w:r>
      <w:r w:rsidR="004B2AD1">
        <w:t>entre autres</w:t>
      </w:r>
      <w:r w:rsidR="005D4537">
        <w:t>,</w:t>
      </w:r>
      <w:r>
        <w:t xml:space="preserve"> à </w:t>
      </w:r>
      <w:r w:rsidR="005D4537">
        <w:t>ce que</w:t>
      </w:r>
      <w:r>
        <w:t xml:space="preserve"> </w:t>
      </w:r>
      <w:r w:rsidR="00C47C55" w:rsidRPr="00C47C55">
        <w:t xml:space="preserve">les plaignants souhaitent obtenir une décision constatant que les lois et les mesures prises dans le cadre de la </w:t>
      </w:r>
      <w:r w:rsidR="00C47C55">
        <w:t xml:space="preserve">Proclamation de 2009 </w:t>
      </w:r>
      <w:r w:rsidR="00C47C55" w:rsidRPr="00C47C55">
        <w:t>constituent, entre autres, une violation de la Charte africaine.</w:t>
      </w:r>
      <w:r w:rsidR="00C47C55">
        <w:t xml:space="preserve"> </w:t>
      </w:r>
      <w:r>
        <w:t>(§113).</w:t>
      </w:r>
      <w:r w:rsidR="00EB5D8D">
        <w:t xml:space="preserve"> De pl</w:t>
      </w:r>
      <w:r w:rsidR="00C47C55">
        <w:t>u</w:t>
      </w:r>
      <w:r w:rsidR="00EB5D8D">
        <w:t>s,</w:t>
      </w:r>
      <w:r>
        <w:t xml:space="preserve"> </w:t>
      </w:r>
      <w:r w:rsidR="00EB5D8D">
        <w:t>si la</w:t>
      </w:r>
      <w:r>
        <w:t xml:space="preserve"> Commission a </w:t>
      </w:r>
      <w:r w:rsidR="00EB5D8D">
        <w:t xml:space="preserve">bien </w:t>
      </w:r>
      <w:r>
        <w:t>considéré</w:t>
      </w:r>
      <w:r w:rsidR="00EB5D8D">
        <w:t xml:space="preserve"> les voies de recours comme disponibles effecti</w:t>
      </w:r>
      <w:r w:rsidR="005D4537">
        <w:t xml:space="preserve">ves </w:t>
      </w:r>
      <w:r w:rsidR="00EB5D8D">
        <w:t>et suffisant</w:t>
      </w:r>
      <w:r w:rsidR="005D4537">
        <w:t>e</w:t>
      </w:r>
      <w:r w:rsidR="00EB5D8D">
        <w:t>s (§123)</w:t>
      </w:r>
      <w:r w:rsidR="005D4537">
        <w:t>,</w:t>
      </w:r>
      <w:r w:rsidR="00EB5D8D">
        <w:t xml:space="preserve"> elle a rappelé que dans un tel cas l’obligation d’épuiser les voies de recours interne</w:t>
      </w:r>
      <w:r w:rsidR="005D4537">
        <w:t>s</w:t>
      </w:r>
      <w:r w:rsidR="00EB5D8D">
        <w:t xml:space="preserve"> ne pesait pas sur les requérants en cas de prolongation excessi</w:t>
      </w:r>
      <w:r w:rsidR="004B2AD1">
        <w:t>ve</w:t>
      </w:r>
      <w:r w:rsidR="00EB5D8D">
        <w:t xml:space="preserve"> des procédures. Rappelant ainsi les 3 critères définis dans sa décision dans l’affaire </w:t>
      </w:r>
      <w:r w:rsidR="00EB5D8D" w:rsidRPr="00EB5D8D">
        <w:rPr>
          <w:i/>
          <w:iCs/>
        </w:rPr>
        <w:t>Jose Alidor Kabambi Beya Ushiye and others v. Democratic Republic of Congo</w:t>
      </w:r>
      <w:r w:rsidR="00EB5D8D">
        <w:t xml:space="preserve">, </w:t>
      </w:r>
      <w:r w:rsidR="004B2AD1">
        <w:t xml:space="preserve">la Commission a considéré les délais comme indûment prolongé et a de ce fait considéré la requête recevable (§130). </w:t>
      </w:r>
    </w:p>
    <w:p w14:paraId="5ACC3E8A" w14:textId="725F5DE8" w:rsidR="004B2AD1" w:rsidRDefault="004B2AD1">
      <w:r>
        <w:t>La communication allègue de la violation des articles 4, 5, 6, 7, 8, 9, 10 et 16 de la Charte</w:t>
      </w:r>
    </w:p>
    <w:p w14:paraId="26494BC4" w14:textId="7140A1E9" w:rsidR="004B2AD1" w:rsidRDefault="00836C95">
      <w:r>
        <w:t xml:space="preserve">S’agissant de l’article 5, La Commission a rappelé que bien qu’il existe </w:t>
      </w:r>
      <w:r w:rsidR="003309C3">
        <w:t>des preuves</w:t>
      </w:r>
      <w:r>
        <w:t xml:space="preserve"> de l’utilisation massive de la torture ou de traitement</w:t>
      </w:r>
      <w:r w:rsidR="005D4537">
        <w:t>s</w:t>
      </w:r>
      <w:r>
        <w:t xml:space="preserve"> inhumains et dégradants en détention dans et par l’État partie, il n’était pas possible de spéculer sur la véracité de la commission de telles pratiques sur un individu plaignant en dehors de la preuve de telles commissions sur la personne plaignante (§246-247).</w:t>
      </w:r>
    </w:p>
    <w:p w14:paraId="2C15C9C6" w14:textId="57717E3C" w:rsidR="00836C95" w:rsidRDefault="00836C95">
      <w:r>
        <w:lastRenderedPageBreak/>
        <w:t>S’agissant de l’article 6, la Commission</w:t>
      </w:r>
      <w:r w:rsidR="00EA5D0F">
        <w:t xml:space="preserve"> </w:t>
      </w:r>
      <w:r>
        <w:t xml:space="preserve">a </w:t>
      </w:r>
      <w:r w:rsidR="00EA5D0F">
        <w:t>c</w:t>
      </w:r>
      <w:r>
        <w:t xml:space="preserve">onsidéré que les dispositions de la Proclamation de 2009 permettaient un usage abusif et la détention arbitraire et </w:t>
      </w:r>
      <w:r w:rsidR="00EA5D0F">
        <w:t>a ainsi considéré que l’arrestation et la détention des plaignants constituai</w:t>
      </w:r>
      <w:r w:rsidR="005D4537">
        <w:t>en</w:t>
      </w:r>
      <w:r w:rsidR="00EA5D0F">
        <w:t>t un cas de détention arbitraire (§255).</w:t>
      </w:r>
    </w:p>
    <w:p w14:paraId="1F8047BE" w14:textId="7EB9E743" w:rsidR="00EA5D0F" w:rsidRDefault="00EA5D0F">
      <w:r>
        <w:t>S’agissant de l’article 7, La Commission a considéré que la conduction par le gouvernement éthiopien d’une campagne de dénigrement via la diffusion d’un documentaire présentant les plaignants comme des criminels constituait une atteinte à leur droit à un procès équitable (§258).</w:t>
      </w:r>
    </w:p>
    <w:p w14:paraId="47A84EDF" w14:textId="4B9E6595" w:rsidR="003309C3" w:rsidRPr="0069136F" w:rsidRDefault="003309C3">
      <w:r>
        <w:t xml:space="preserve">S’agissant des articles 8, 9, 10(1) et 11 la Commission rappelle que ces droits ne sont pas </w:t>
      </w:r>
      <w:r w:rsidR="005D4537">
        <w:t>absolus</w:t>
      </w:r>
      <w:r>
        <w:t xml:space="preserve"> et peuvent être limités </w:t>
      </w:r>
      <w:r w:rsidR="00636682">
        <w:t>par la loi dans un objectif d’intérêt public légitime, de manière proportionnée et nécessaire. Dans ce cas, la charge de la preuve du respect de tels critères est à la charge de l’État (§273). L’État défendeur n’ayant pas apporté la preuve de l’intérêt, de la nécessité et de la proportionnalité de telles limitation</w:t>
      </w:r>
      <w:r w:rsidR="00643DD1">
        <w:t>s</w:t>
      </w:r>
      <w:r w:rsidR="00636682">
        <w:t xml:space="preserve">, la Commission a reconnu des violations des articles 9, 10 et 11 de la Charte (§276). S’agissant de l’article 8, celui-ci n’est pas mentionné explicitement mais sa violation est mentionnée dans le dispositif. </w:t>
      </w:r>
    </w:p>
    <w:p w14:paraId="711CAF90" w14:textId="77777777" w:rsidR="00714D29" w:rsidRDefault="00F51F18" w:rsidP="00714D29">
      <w:pPr>
        <w:rPr>
          <w:u w:val="single"/>
        </w:rPr>
      </w:pPr>
      <w:r w:rsidRPr="00F51F18">
        <w:rPr>
          <w:u w:val="single"/>
        </w:rPr>
        <w:t>Communication 402/11 &amp; 420/12 - Sudanese Civilians in South Kordofan and Blue Nile (represented by Sudan Democracy First Group, REDRESS, Human Rights v. Sudan (merits)</w:t>
      </w:r>
      <w:r>
        <w:rPr>
          <w:u w:val="single"/>
        </w:rPr>
        <w:t>, 18 nov 2025, 74th public ordinary</w:t>
      </w:r>
      <w:r w:rsidR="00714D29" w:rsidRPr="00714D29">
        <w:rPr>
          <w:u w:val="single"/>
        </w:rPr>
        <w:t xml:space="preserve"> </w:t>
      </w:r>
    </w:p>
    <w:p w14:paraId="7ED7CC41" w14:textId="77777777" w:rsidR="005350C8" w:rsidRPr="005350C8" w:rsidRDefault="005350C8" w:rsidP="005350C8">
      <w:r w:rsidRPr="005350C8">
        <w:t>La communication a été déposée par le </w:t>
      </w:r>
      <w:r w:rsidRPr="005350C8">
        <w:rPr>
          <w:i/>
          <w:iCs/>
        </w:rPr>
        <w:t>Sudan Democracy First Group, REDRESS, Human Rights Watch, INTERIGHTS and Enough Project</w:t>
      </w:r>
      <w:r w:rsidRPr="005350C8">
        <w:t> au nom de des populations civiles du Soudan du Sud Kordofan et du Nil Bleu, en particulier le peuple Nuba.</w:t>
      </w:r>
    </w:p>
    <w:p w14:paraId="37C3D552" w14:textId="693FDF21" w:rsidR="005350C8" w:rsidRPr="005350C8" w:rsidRDefault="005350C8" w:rsidP="005350C8">
      <w:r w:rsidRPr="005350C8">
        <w:t>Elle allègue notamment de violations massives commises par les forces armées soudanaises, et les forces de sécurité, comprenant des attaques massives des populations, des bombardements indifférenciés, des tortures, des exécutions extra-judiciaires, des viols de masse, la privation d’accès à la nourriture, à des médicaments, etc.</w:t>
      </w:r>
    </w:p>
    <w:p w14:paraId="6EDB806E" w14:textId="77777777" w:rsidR="005350C8" w:rsidRPr="005350C8" w:rsidRDefault="005350C8" w:rsidP="005350C8">
      <w:r w:rsidRPr="005350C8">
        <w:t>S'agissant de la recevabilité, la Commission a considéré la communication comme recevable sans que l’État défendeur ne soulève aucune objection à cette recevabilité. Elle a en particulier considéré les voies de recours internes comme ineffectives du fait de la nature massive des violations au Soudan, du climat de peur très important et de l’existence d’immunités légales protégeant largement les soldats soudanais et les forces de sécurité. (§65).</w:t>
      </w:r>
    </w:p>
    <w:p w14:paraId="75DAED66" w14:textId="77777777" w:rsidR="005350C8" w:rsidRPr="005350C8" w:rsidRDefault="005350C8" w:rsidP="005350C8">
      <w:r w:rsidRPr="005350C8">
        <w:t>La communication allègue de la violation des articles 1, 2, 3(2), 4, 5, 6, 7(1)(a), 12(1), 14, 16, 18, 19, 20, 21 et 23 de la Charte africaine.</w:t>
      </w:r>
    </w:p>
    <w:p w14:paraId="6AD2628E" w14:textId="77777777" w:rsidR="005350C8" w:rsidRPr="005350C8" w:rsidRDefault="005350C8" w:rsidP="005350C8">
      <w:r w:rsidRPr="005350C8">
        <w:t xml:space="preserve">S'agissant de l’article 4, la Commission a rappelé l’obligation des États de s'abstenir de toute privation arbitraire et illégale de la vie, et de protéger contre de telles privations commises par des agents non étatiques (§109). Elle a également rappelé que le terme « arbitraire » devait être interprété plus largement que seulement des actes contre la loi (§112). Ainsi la Cour a considéré que les tueries de masse de civils, ainsi que les bombardements indifférenciés menés par les forces armées soudanaises constituaient une violation de l’article 4. La Cour a considéré que « les traitements inhumains délibérés infligés aux membres du Kordofan du Sud et du Nil Bleu, notamment les viols et autres formes de violence sexuelle, les agressions violentes et les disparitions forcées » ayant accompagnés les tueries de masse et entraîné des souffrances </w:t>
      </w:r>
      <w:r w:rsidRPr="005350C8">
        <w:lastRenderedPageBreak/>
        <w:t>physiques et psychiques importantes constituent des actes de torture et de mauvais traitements et sont de ce fait attentatoires à l’article 5 de la Charte (§132). Il en va de même pour les détentions arbitraires et disparitions forcées en violation de l’article 6 (§142).</w:t>
      </w:r>
    </w:p>
    <w:p w14:paraId="241BCF35" w14:textId="77777777" w:rsidR="005350C8" w:rsidRPr="005350C8" w:rsidRDefault="005350C8" w:rsidP="005350C8">
      <w:r w:rsidRPr="005350C8">
        <w:t>La Commission a également reconnu que les arrestations, détentions prolongées sans procès et les détentions au secret de centaines de civils étaient arbitraires comme des violations de l’article 7 (§150).</w:t>
      </w:r>
    </w:p>
    <w:p w14:paraId="59E8F433" w14:textId="77777777" w:rsidR="005350C8" w:rsidRPr="005350C8" w:rsidRDefault="005350C8" w:rsidP="005350C8">
      <w:r w:rsidRPr="005350C8">
        <w:t>S'agissant de l’article 12, la Commission a considéré que celui-ci impliquait une obligation pour les États de « prévenir les déplacements de la population civile et de protéger et aider les personnes touchées par la violence et les conflits armés contre les conséquences de ces conflits. » (§171). Elle a ainsi considéré que le Soudan n’avait pas rempli cette obligation (§172). De même, la Commission a considéré en s’inspirant des </w:t>
      </w:r>
      <w:r w:rsidRPr="005350C8">
        <w:rPr>
          <w:i/>
          <w:iCs/>
        </w:rPr>
        <w:t>UN Principles on Housing and Property Restitution for Refugees and Displaced Persons</w:t>
      </w:r>
      <w:r w:rsidRPr="005350C8">
        <w:t> que les États ont l’obligation de prohiber les expulsions forcées, les démolitions de maisons, la destruction de zones agricoles, et la confiscation arbitraire comme méthode de guerre, ainsi que l’obligation de prendre des mesures pour que personne ne soit sujet à des déplacements forcés (§177). La Commission a considéré que le Soudan n’avait rempli à aucune de ces obligations (§179).</w:t>
      </w:r>
    </w:p>
    <w:p w14:paraId="58ED4176" w14:textId="5645EBA3" w:rsidR="005350C8" w:rsidRPr="005350C8" w:rsidRDefault="005350C8" w:rsidP="005350C8">
      <w:r w:rsidRPr="005350C8">
        <w:t>S'agissant de l’article 16, la Cour a rappelé que le droit à la nourriture était implicitement reconnu dans la Charte (§184). Elle a ainsi considéré que les bombardements et la destruction de stocks de vivres, d’exploitations agricoles, et de maisons de civils, ainsi que les déplacements forcés avaient affecté la possibilité d’accès à l’eau, à la nourriture, et aux</w:t>
      </w:r>
      <w:r w:rsidR="001C553E">
        <w:t xml:space="preserve"> </w:t>
      </w:r>
      <w:r w:rsidRPr="005350C8">
        <w:t>médicaments pour les civils et durement impacté leur droit à la santé (§187).</w:t>
      </w:r>
    </w:p>
    <w:p w14:paraId="20F52C27" w14:textId="77777777" w:rsidR="005350C8" w:rsidRPr="005350C8" w:rsidRDefault="005350C8" w:rsidP="005350C8">
      <w:r w:rsidRPr="005350C8">
        <w:t>La Commission a rappelé que l’article 18(1) impose à l’État une obligation de protéger la famille comme noyau de base de la société (§191). Cela implique que « l'expulsion forcée massive de populations, que ce soit en temps de paix ou en temps de guerre, a un effet négatif sur la jouissance du droit à la vie familiale » (§194). Elle a également rappelé que le droit au logement pouvait être déduit d’une lecture de cet article avec les articles 14 et 16 (§192). La Commission a ainsi estimé que le déplacement forcé de civils dans le Sud-Kordofan et le Nil Bleu constitue une violation de l'article 18(1) (§196).</w:t>
      </w:r>
    </w:p>
    <w:p w14:paraId="78AB974D" w14:textId="77777777" w:rsidR="005350C8" w:rsidRPr="005350C8" w:rsidRDefault="005350C8" w:rsidP="005350C8">
      <w:r w:rsidRPr="005350C8">
        <w:t xml:space="preserve">S'agissant de l’article 18(3) et de l’article 2, la Commission a rappelé que la discrimination à l’égard des femmes et les violences basées sur le genre sont intimement liées (§209). Constatant que le Soudan n’avait pas ratifié le Protocole de Maputo (§214), elle a toutefois considéré pouvoir s’en inspirer conformément à l’article 60 de la Charte pour déterminer la nature des discriminations telles que mentionnées dans l’article 18(3) (§215). La Commission a donc considéré que sa jurisprudence précédente se concentrait sur une interprétation formelle de l’égalité. Elle a considéré que son interprétation devait être fondée sur le principe de « l’égalité substantielle transformative », qui consiste dans le fait de considérer que tout acte de violence sexuelle et sexiste constitue un acte de discrimination fondée sur le sexe, que les hommes se trouvant dans la même situation aient été traités de la même manière que les femmes ou non » (§220). Par ailleurs, cette approche implique l’obligation de prendre des mesures pour prévenir les violences à l’encontre des femmes en période de conflit ou en période post-conflit, ainsi que la mise en place de normes pour accéder à des procédures de réparation appropriées, efficaces, accessibles, rapides et durables pour les </w:t>
      </w:r>
      <w:r w:rsidRPr="005350C8">
        <w:lastRenderedPageBreak/>
        <w:t>préjudices et les pertes subis par les victimes de violences sexuelles (§221). La Commission a ainsi considéré que l'État défendeur, en n'ayant pas empêché les violations de se produire et, lorsqu'elles se sont produites, en n'ayant pas pris de mesures adéquates pour y remédier ou accorder des réparations aux victimes, a violé les dispositions des articles 2 et 18(3) de la Charte africaine (§234).</w:t>
      </w:r>
    </w:p>
    <w:p w14:paraId="69D85B95" w14:textId="77777777" w:rsidR="005350C8" w:rsidRPr="005350C8" w:rsidRDefault="005350C8" w:rsidP="005350C8">
      <w:r w:rsidRPr="005350C8">
        <w:t>La Commission a en outre reconnu des violations de la liberté d’expression, du droit à l’information (§162), de l’article 3(2) (§262), ainsi que de l’article 1 (§266).</w:t>
      </w:r>
    </w:p>
    <w:p w14:paraId="2C3E51A6" w14:textId="77777777" w:rsidR="005350C8" w:rsidRPr="005350C8" w:rsidRDefault="005350C8" w:rsidP="005350C8">
      <w:r w:rsidRPr="005350C8">
        <w:t>S'agissant spécifiquement des allégations de violations des droits du peuple Nuba, la Commission a rappelé que « le terme « peuples » tel qu'il est utilisé dans la Charte peut être interprété de différentes manières selon le contexte et les dispositions de la Charte dans lesquels il est utilisé. « L'une des significations importantes de ce terme fait référence aux groupes infra-étatiques qui ont une identité distincte en raison de la possession de marqueurs identitaires et d'un statut spécifiques » (§236). La Commission a par suite considéré le peuple Nuba comme un peuple au sens de la Charte (§238). La Commission a ainsi reconnu que l’État soudanais avait atteint aux droits du peuple Nuba à l’égalité garanti par l’article 19 de la Charte (§244), à l’existence de l’article 20 (§248), à la légitime récupération de ses biens de l’article 21(2) (§252), et à la paix de l’article 23 (§258).</w:t>
      </w:r>
    </w:p>
    <w:p w14:paraId="1746720D" w14:textId="77777777" w:rsidR="00714D29" w:rsidRDefault="00714D29">
      <w:pPr>
        <w:rPr>
          <w:u w:val="single"/>
        </w:rPr>
      </w:pPr>
      <w:r w:rsidRPr="00714D29">
        <w:rPr>
          <w:u w:val="single"/>
        </w:rPr>
        <w:t>Communication 516/15 - Peter Ngoge and Everlyene Ekea v. Kenya (inadmissible)</w:t>
      </w:r>
      <w:r>
        <w:rPr>
          <w:u w:val="single"/>
        </w:rPr>
        <w:t>, 18 nov 2025, 74th session.</w:t>
      </w:r>
    </w:p>
    <w:p w14:paraId="557B64A5" w14:textId="3B3CB235" w:rsidR="005350C8" w:rsidRDefault="005350C8" w:rsidP="005350C8">
      <w:r>
        <w:t>Le plaignant allègue des violations multiples de ses droits face aux autorités judiciaires kenyanes.</w:t>
      </w:r>
    </w:p>
    <w:p w14:paraId="30BC19F6" w14:textId="77777777" w:rsidR="005350C8" w:rsidRDefault="005350C8" w:rsidP="005350C8">
      <w:r>
        <w:t>Néanmoins, la Commission a considéré le vocabulaire utilisé dans la communication outrageant ou insultant à l’égard du Kenya (§74). Elle a en outre considéré que le plaignant n’avait pas rempli son obligation d’épuiser les voies de recours internes (§68), et de ce fait aux obligations procédurales prévues à l’article 56(6) de la Charte (§70). La communication a donc été déclarée irrecevable.</w:t>
      </w:r>
    </w:p>
    <w:p w14:paraId="72816653" w14:textId="4254227E" w:rsidR="00714D29" w:rsidRDefault="00714D29" w:rsidP="005350C8">
      <w:pPr>
        <w:rPr>
          <w:u w:val="single"/>
        </w:rPr>
      </w:pPr>
      <w:r w:rsidRPr="00714D29">
        <w:rPr>
          <w:u w:val="single"/>
        </w:rPr>
        <w:t>Communication 485/14: Peter Odiwuor Ngoge v Kenya and 535/15 - Peter Odiwuor Ngoge and Joseph Njau v. Republic of Kenya (inadmissible)</w:t>
      </w:r>
      <w:r>
        <w:rPr>
          <w:u w:val="single"/>
        </w:rPr>
        <w:t>, 24 nov 2025, 74th ordinary session</w:t>
      </w:r>
    </w:p>
    <w:p w14:paraId="2D5B6458" w14:textId="77777777" w:rsidR="005350C8" w:rsidRPr="005350C8" w:rsidRDefault="005350C8" w:rsidP="005350C8">
      <w:r w:rsidRPr="005350C8">
        <w:t>Le plaignant soutient que l'État défendeur l'a systématiquement discriminé et lui a refusé l'accès à la justice.</w:t>
      </w:r>
    </w:p>
    <w:p w14:paraId="262541A3" w14:textId="77777777" w:rsidR="005350C8" w:rsidRPr="005350C8" w:rsidRDefault="005350C8" w:rsidP="005350C8">
      <w:r w:rsidRPr="005350C8">
        <w:t>Néanmoins, la Commission a considéré le vocabulaire utilisé dans la communication outrageant ou insultant à l’égard du Kenya (§52). Elle a en outre considéré que le plaignant n’avait pas rempli son obligation d’épuiser les voies de recours internes (§100), et de ce fait aux obligations procédurales prévues à l’article 56(6) de la Charte (§104). La communication a donc été déclarée irrecevable.</w:t>
      </w:r>
    </w:p>
    <w:p w14:paraId="3C4962BC" w14:textId="77777777" w:rsidR="00A0552D" w:rsidRPr="008C7005" w:rsidRDefault="00A0552D"/>
    <w:p w14:paraId="75EA1CF4" w14:textId="3966F9F3" w:rsidR="00AA338F" w:rsidRDefault="00AA338F">
      <w:pPr>
        <w:rPr>
          <w:b/>
          <w:bCs/>
          <w:u w:val="single"/>
        </w:rPr>
      </w:pPr>
      <w:r w:rsidRPr="00AA338F">
        <w:rPr>
          <w:b/>
          <w:bCs/>
          <w:u w:val="single"/>
        </w:rPr>
        <w:t>75th ordinary session :</w:t>
      </w:r>
    </w:p>
    <w:p w14:paraId="28452206" w14:textId="2CBE0D96" w:rsidR="00AA338F" w:rsidRDefault="00AA338F">
      <w:pPr>
        <w:rPr>
          <w:u w:val="single"/>
        </w:rPr>
      </w:pPr>
      <w:r w:rsidRPr="00AA338F">
        <w:rPr>
          <w:u w:val="single"/>
        </w:rPr>
        <w:lastRenderedPageBreak/>
        <w:t>Communication 564/15 - Community Law Centre, University of the Western Cape &amp; Alliance Africa v. The Federal Republic of Nigeria (merits)</w:t>
      </w:r>
      <w:r>
        <w:rPr>
          <w:u w:val="single"/>
        </w:rPr>
        <w:t>, 24 nov 2025, 75th ordinary session</w:t>
      </w:r>
    </w:p>
    <w:p w14:paraId="5C2B4E3F" w14:textId="77777777" w:rsidR="005350C8" w:rsidRPr="005350C8" w:rsidRDefault="005350C8" w:rsidP="005350C8">
      <w:r w:rsidRPr="005350C8">
        <w:t>Les plaignants affirment que des milliers de femmes nigérianes ont perdu la vie parce que l'État défendeur n'a pas fourni un accès adéquat aux services de santé maternelle. Les plaignants affirment en outre que la plupart de ces décès auraient pu être évités, car les causes de mortalité maternelle pendant la grossesse ou l'accouchement sont bien connues. Il s'agit notamment de problèmes tels que les hémorragies, les avortements pratiqués dans des conditions dangereuses, l'éclampsie, les infections, la dystocie et d'autres causes directes. (§3)</w:t>
      </w:r>
    </w:p>
    <w:p w14:paraId="0465BD5A" w14:textId="77777777" w:rsidR="005350C8" w:rsidRPr="005350C8" w:rsidRDefault="005350C8" w:rsidP="005350C8">
      <w:r w:rsidRPr="005350C8">
        <w:t>S'agissant de la recevabilité, la Commission a considéré que les voies de recours n’étaient pas effectives dans la mesure où les droits économiques, sociaux et culturels ne pouvaient faire l’objet de recours dans la Constitution nigériane et considérant le nombre de victimes (§54). La communication est donc recevable.</w:t>
      </w:r>
    </w:p>
    <w:p w14:paraId="4E1DDFD7" w14:textId="77777777" w:rsidR="005350C8" w:rsidRPr="005350C8" w:rsidRDefault="005350C8" w:rsidP="005350C8">
      <w:r w:rsidRPr="005350C8">
        <w:t>La Commission a par ailleurs rappelé, s'agissant de sa compétence, que le Protocole de Maputo fait partie intégrante de la Charte, et entre donc dans sa compétence d’interprétation (§97).</w:t>
      </w:r>
    </w:p>
    <w:p w14:paraId="6B211325" w14:textId="77777777" w:rsidR="005350C8" w:rsidRPr="005350C8" w:rsidRDefault="005350C8" w:rsidP="005350C8">
      <w:r w:rsidRPr="005350C8">
        <w:t>2, 3, 4, 5 and 16 de la Charte + 2, 4, 5, 10, 14 du Protocole de Maputo</w:t>
      </w:r>
    </w:p>
    <w:p w14:paraId="6EE85CB0" w14:textId="77777777" w:rsidR="005350C8" w:rsidRPr="005350C8" w:rsidRDefault="005350C8" w:rsidP="005350C8">
      <w:r w:rsidRPr="005350C8">
        <w:t>S'agissant de l’article 4, la Commission a rappelé sa Résolution n°135 sur la mortalité maternelle en Afrique ainsi que son Commentaire général n°3 pour réaffirmer que les États « doivent lutter contre les menaces chroniques qui pèsent sur la vie, y compris la mortalité maternelle évitable, en mettant en place des systèmes de santé opérationnels et en éliminant les lois et pratiques discriminatoires qui ont une incidence sur la capacité des individus et des groupes à accéder aux soins de santé » (§103). Néanmoins, et dans la mesure où les plaignants n’ont pas démontré en quoi la mortalité maternelle était le fait d’une défaillance de l’État nigérian, elle n’a pas conclu à une violation de l’article 4 (§104).</w:t>
      </w:r>
    </w:p>
    <w:p w14:paraId="6338BBA7" w14:textId="77777777" w:rsidR="005350C8" w:rsidRPr="005350C8" w:rsidRDefault="005350C8" w:rsidP="005350C8">
      <w:r w:rsidRPr="005350C8">
        <w:t>S'agissant de l’article 16 de la Charte et de l’article 14 du Protocole, la Commission a rappelé que comme la majorité des droits économiques, sociaux et culturels, leur mise en œuvre dépend des capacités économiques de l’État en cause (§109). La Commission a ainsi considéré que les plaignants n’avaient pas apporté la preuve de la violation par le Nigéria de ses obligations au titre de l’article 16 (§112). Il en va de même pour les stipulations de l’article 14 du Protocole (§118 et §122).</w:t>
      </w:r>
    </w:p>
    <w:p w14:paraId="1283EF48" w14:textId="77777777" w:rsidR="005350C8" w:rsidRPr="005350C8" w:rsidRDefault="005350C8" w:rsidP="005350C8">
      <w:r w:rsidRPr="005350C8">
        <w:t>La Commission n’a pas non plus accueilli les arguments des plaignants selon lesquels les actes allégués relevaient d’actes de torture (§130). L’article 5 n’a ainsi pas été violé aux yeux de la Commission (§131).</w:t>
      </w:r>
    </w:p>
    <w:p w14:paraId="6A7F4910" w14:textId="77777777" w:rsidR="005350C8" w:rsidRPr="005350C8" w:rsidRDefault="005350C8" w:rsidP="005350C8">
      <w:r w:rsidRPr="005350C8">
        <w:t>Aucun autre des moyens allégués par les plaignants n’a été accueilli par la Commission (§139 ; 144 ; 150 ; 157 ; 164).</w:t>
      </w:r>
    </w:p>
    <w:p w14:paraId="55B49007" w14:textId="2C47A40B" w:rsidR="00AA338F" w:rsidRDefault="00AA338F">
      <w:pPr>
        <w:rPr>
          <w:u w:val="single"/>
        </w:rPr>
      </w:pPr>
      <w:r w:rsidRPr="00AA338F">
        <w:rPr>
          <w:u w:val="single"/>
        </w:rPr>
        <w:t>Communication 424/12 - Samira Ibrahim Mohamed Mahmoud and Rasha Ali Abdel-Rahman (Represented by the Egyptian Initiative for Personal Rights and Interights) v. The Arabic Republic of Egypt (merits)</w:t>
      </w:r>
      <w:r>
        <w:rPr>
          <w:u w:val="single"/>
        </w:rPr>
        <w:t>, 24 nov 2025, 75th ordinary session</w:t>
      </w:r>
    </w:p>
    <w:p w14:paraId="6F260D47" w14:textId="77777777" w:rsidR="005350C8" w:rsidRPr="005350C8" w:rsidRDefault="005350C8" w:rsidP="005350C8">
      <w:r w:rsidRPr="005350C8">
        <w:lastRenderedPageBreak/>
        <w:t>Il est allégué que la première et la deuxième victime ont été arrêtées après avoir participé à un sit-in sur la place Tahrir. Il est allégué que les victimes et d'autres détenus ont été transférés dans une prison militaire où ils ont été victimes de passages à tabac et d'électrocutions, et ont également subi un examen génital forcé en prison.</w:t>
      </w:r>
    </w:p>
    <w:p w14:paraId="21D85521" w14:textId="77777777" w:rsidR="005350C8" w:rsidRPr="005350C8" w:rsidRDefault="005350C8" w:rsidP="005350C8">
      <w:r w:rsidRPr="005350C8">
        <w:t>La Cour a considéré que l’inaction de la part de l’État pour enquêter et instruire les allégations des victimes exonérait les plaignants d’épuiser les voies de recours internes.</w:t>
      </w:r>
    </w:p>
    <w:p w14:paraId="0346A20B" w14:textId="77777777" w:rsidR="005350C8" w:rsidRPr="005350C8" w:rsidRDefault="005350C8" w:rsidP="005350C8">
      <w:r w:rsidRPr="005350C8">
        <w:t>Les plaignants allèguent des violations des articles 1, 2, 3, 5, 9(2), 11, 18(3) et 26 de la Charte africaine.</w:t>
      </w:r>
    </w:p>
    <w:p w14:paraId="47C3254F" w14:textId="77777777" w:rsidR="005350C8" w:rsidRPr="005350C8" w:rsidRDefault="005350C8" w:rsidP="005350C8">
      <w:r w:rsidRPr="005350C8">
        <w:t>S'agissant de l’article 2 de la Charte et de l'article 18(3) du Protocole de Maputo, la Commission a rappelé que la définition des discriminations incluait les violences de genre (§171). Elle a également rappelé que la discrimination à l’égard des femmes est de deux types : « La discrimination directe à l'égard des femmes consiste en un traitement différent fondé explicitement sur des différences liées au sexe et au genre, tandis que la discrimination indirecte à l'égard des femmes se produit lorsqu'une loi, une politique, un programme ou une pratique semble neutre en ce qui concerne les femmes et les hommes, mais a en pratique un effet discriminatoire sur les femmes. » (§172). Elle a donc déterminé 3 niveaux d’obligations pour prévenir les violences à l’égard des femmes, à savoir : « a. promulguer des lois interdisant toutes les formes de violence à l'égard des femmes et veiller à ce que la législation existante soit modifiée si nécessaire et contrôlée par le bon fonctionnement des procédures judiciaires ; b. appliquer la législation existante, notamment par des enquêtes efficaces, la poursuite des auteurs, la réparation et le soutien aux victimes, ainsi que des services de réadaptation ; et c. prendre des mesures spécifiques pour garantir des enquêtes sensibles au genre et prévenir les stéréotypes sexistes et la victimisation secondaire. » (§176)</w:t>
      </w:r>
    </w:p>
    <w:p w14:paraId="247B3313" w14:textId="77777777" w:rsidR="005350C8" w:rsidRPr="005350C8" w:rsidRDefault="005350C8" w:rsidP="005350C8">
      <w:r w:rsidRPr="005350C8">
        <w:t>La Commission a considéré que la manière dont les femmes non mariées et arrêtées ont été soumises à des coups, à des électrochocs et à des examens génitaux forcés par un médecin militaire de sexe masculin, l'ont été spécifiquement en raison de leur genre et de manière discriminatoire (§180). La Commission a par ailleurs rappelé que les violences subies par les victimes ne pouvaient en aucun cas se justifier pour des motifs légitimes (§187). La Commission a en outre appuyé « que le type de violence utilisé contre les victimes en détention était uniquement fondé sur leur sexe. En d'autres termes, la violence était spécifique au genre et, par extension, discriminatoire. » (§189).</w:t>
      </w:r>
    </w:p>
    <w:p w14:paraId="2563358C" w14:textId="77777777" w:rsidR="005350C8" w:rsidRPr="005350C8" w:rsidRDefault="005350C8" w:rsidP="005350C8">
      <w:r w:rsidRPr="005350C8">
        <w:t>La Commission a de plus considéré qu’au-delà des discriminations directes, les « attitudes, comportements et pratiques ultérieurs des institutions publiques qui répondent au plaignant et qui rejettent la responsabilité sur les victimes » constituent également des atteintes aux droits garantis dans les articles 2 de la Charte et 18(3) du Protocole (§194). La Commission a ainsi considéré que les questions posées par le procureur, ainsi que ses comportements, dénotaient des stéréotypes de genres négatifs qui assignent les femmes à des rôles serviles dans la société et dévaluent leur rôle et leur voix (§197).</w:t>
      </w:r>
    </w:p>
    <w:p w14:paraId="6A0A06EF" w14:textId="77777777" w:rsidR="005350C8" w:rsidRPr="005350C8" w:rsidRDefault="005350C8" w:rsidP="005350C8">
      <w:r w:rsidRPr="005350C8">
        <w:t>La Commission s'agissant de l’article 5 s’est intéressée à la définition du viol. S’inspirant de l’arrêt de la Cour interaméricaine dans sa décision </w:t>
      </w:r>
      <w:r w:rsidRPr="005350C8">
        <w:rPr>
          <w:i/>
          <w:iCs/>
        </w:rPr>
        <w:t>Miguel Castro-Castro Prison c. Peru</w:t>
      </w:r>
      <w:r w:rsidRPr="005350C8">
        <w:t xml:space="preserve">, la Commission </w:t>
      </w:r>
      <w:r w:rsidRPr="005350C8">
        <w:lastRenderedPageBreak/>
        <w:t>a considéré que le viol peut être constitué par plus que « la simple pénétration sexuelle d'un organe sexuel masculin dans un organe féminin, le vagin » (§210). Elle a ainsi considéré qu’un examen vaginal par les doigts en détention, constitue un acte de torture, inhumain et dégradant (§215).</w:t>
      </w:r>
    </w:p>
    <w:p w14:paraId="1DB8FF2E" w14:textId="77777777" w:rsidR="005350C8" w:rsidRPr="005350C8" w:rsidRDefault="005350C8" w:rsidP="005350C8">
      <w:r w:rsidRPr="005350C8">
        <w:t>S'agissant de l’article 26, la Commission a estimé que la composition et la compétence des tribunaux militaires, ainsi que les infractions jugées, n'étaient pas liées à l'armée et pouvaient être jugées par des tribunaux civils. Elle a considéré que le tribunal égyptien n'a pas satisfait à l'exigence d'impartialité et d'indépendance (§237).</w:t>
      </w:r>
    </w:p>
    <w:p w14:paraId="5D2240F4" w14:textId="77777777" w:rsidR="005350C8" w:rsidRPr="005350C8" w:rsidRDefault="005350C8" w:rsidP="005350C8">
      <w:r w:rsidRPr="005350C8">
        <w:t>S'agissant de l’article 3 de la Charte, la Commission a considéré une violation non seulement sur le fait que les victimes avaient subi un traitement différent des autres détenus mariés, hommes et femmes, mais également que les victimes n'ont pas reçu le même traitement que les autres personnes jugées par un tribunal civil. (§242)</w:t>
      </w:r>
    </w:p>
    <w:p w14:paraId="0622C828" w14:textId="77777777" w:rsidR="005350C8" w:rsidRPr="005350C8" w:rsidRDefault="005350C8" w:rsidP="005350C8">
      <w:r w:rsidRPr="005350C8">
        <w:t>Considérant que l’arrestation des victimes était subséquente à l’exercice de leur droit d’expression et de réunion, la Commission a estimé qu’il s’agissait d’atteintes à leurs droits (§255).</w:t>
      </w:r>
    </w:p>
    <w:p w14:paraId="7F654F24" w14:textId="77777777" w:rsidR="005350C8" w:rsidRPr="005350C8" w:rsidRDefault="005350C8" w:rsidP="005350C8">
      <w:r w:rsidRPr="005350C8">
        <w:t>Elle a rappelé que toute violation de la Charte a pour conséquence une violation de l’article 1 (§263).</w:t>
      </w:r>
    </w:p>
    <w:p w14:paraId="19657883" w14:textId="3619A03E" w:rsidR="00AA338F" w:rsidRPr="00445BD7" w:rsidRDefault="007B1826">
      <w:r>
        <w:rPr>
          <w:u w:val="single"/>
        </w:rPr>
        <w:t>C</w:t>
      </w:r>
      <w:r w:rsidR="00AA338F" w:rsidRPr="00AA338F">
        <w:rPr>
          <w:u w:val="single"/>
        </w:rPr>
        <w:t>ommunication 515/15 &amp; Communication 527/15 - Peter Ngoge &amp; Julius Anyango v. The Republic of Kenya (inadmissible)</w:t>
      </w:r>
      <w:r w:rsidR="00AA338F">
        <w:rPr>
          <w:u w:val="single"/>
        </w:rPr>
        <w:t xml:space="preserve">, 24 nov 2025, 75th ordinary session. </w:t>
      </w:r>
    </w:p>
    <w:p w14:paraId="27B4E265" w14:textId="77777777" w:rsidR="005350C8" w:rsidRPr="005350C8" w:rsidRDefault="005350C8" w:rsidP="005350C8">
      <w:r w:rsidRPr="005350C8">
        <w:t>Le plaignant soutient que l'État défendeur l'a systématiquement discriminé et lui a refusé l'accès à la justice.</w:t>
      </w:r>
    </w:p>
    <w:p w14:paraId="615E16E7" w14:textId="70D0EDF6" w:rsidR="005350C8" w:rsidRPr="005350C8" w:rsidRDefault="005350C8" w:rsidP="005350C8">
      <w:r w:rsidRPr="005350C8">
        <w:t xml:space="preserve">Néanmoins, la Commission a considéré le vocabulaire utilisé dans la communication outrageant ou insultant à l’égard du Kenya (§54). Elle a en outre considéré que le plaignant n’avait pas rempli son obligation d’épuiser les voies de recours internes (§71), et de </w:t>
      </w:r>
      <w:r>
        <w:t>ce f</w:t>
      </w:r>
      <w:r w:rsidRPr="005350C8">
        <w:t>ait aux obligations procédurales prévues à l’article 56(6) de la Charte (§73). La communication a donc été déclarée irrecevable</w:t>
      </w:r>
    </w:p>
    <w:p w14:paraId="6157478D" w14:textId="77777777" w:rsidR="003713BA" w:rsidRDefault="003713BA"/>
    <w:p w14:paraId="2128654D" w14:textId="77777777" w:rsidR="00F51F18" w:rsidRPr="00F51F18" w:rsidRDefault="00F51F18">
      <w:pPr>
        <w:rPr>
          <w:u w:val="single"/>
        </w:rPr>
      </w:pPr>
    </w:p>
    <w:sectPr w:rsidR="00F51F18" w:rsidRPr="00F51F18" w:rsidSect="000F7447">
      <w:type w:val="continuous"/>
      <w:pgSz w:w="11900" w:h="16850"/>
      <w:pgMar w:top="1417" w:right="1417" w:bottom="1417" w:left="1417" w:header="720" w:footer="720" w:gutter="0"/>
      <w:cols w:space="720" w:equalWidth="0">
        <w:col w:w="9406"/>
      </w:cols>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A192A" w14:textId="77777777" w:rsidR="006A56FF" w:rsidRDefault="006A56FF" w:rsidP="007E5E07">
      <w:pPr>
        <w:spacing w:after="0" w:line="240" w:lineRule="auto"/>
      </w:pPr>
      <w:r>
        <w:separator/>
      </w:r>
    </w:p>
  </w:endnote>
  <w:endnote w:type="continuationSeparator" w:id="0">
    <w:p w14:paraId="4C1661A5" w14:textId="77777777" w:rsidR="006A56FF" w:rsidRDefault="006A56FF" w:rsidP="007E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roman"/>
    <w:pitch w:val="variable"/>
    <w:sig w:usb0="E0002EFF" w:usb1="C000785B" w:usb2="00000009" w:usb3="00000000" w:csb0="000001FF" w:csb1="00000000"/>
  </w:font>
  <w:font w:name="TimesNewRomanPSMT">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DC5F0" w14:textId="77777777" w:rsidR="006A56FF" w:rsidRDefault="006A56FF" w:rsidP="007E5E07">
      <w:pPr>
        <w:spacing w:after="0" w:line="240" w:lineRule="auto"/>
      </w:pPr>
      <w:r>
        <w:separator/>
      </w:r>
    </w:p>
  </w:footnote>
  <w:footnote w:type="continuationSeparator" w:id="0">
    <w:p w14:paraId="4A4989CE" w14:textId="77777777" w:rsidR="006A56FF" w:rsidRDefault="006A56FF" w:rsidP="007E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63027"/>
    <w:multiLevelType w:val="multilevel"/>
    <w:tmpl w:val="EF2E64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980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grammar="clean"/>
  <w:defaultTabStop w:val="708"/>
  <w:hyphenationZone w:val="425"/>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E53"/>
    <w:rsid w:val="000165CF"/>
    <w:rsid w:val="00022FE6"/>
    <w:rsid w:val="00022FF1"/>
    <w:rsid w:val="00034661"/>
    <w:rsid w:val="00054208"/>
    <w:rsid w:val="00057828"/>
    <w:rsid w:val="00060AFB"/>
    <w:rsid w:val="00061D79"/>
    <w:rsid w:val="00070897"/>
    <w:rsid w:val="00077B3A"/>
    <w:rsid w:val="000805EB"/>
    <w:rsid w:val="000812AF"/>
    <w:rsid w:val="000C0270"/>
    <w:rsid w:val="000E4509"/>
    <w:rsid w:val="000E7192"/>
    <w:rsid w:val="000F7447"/>
    <w:rsid w:val="00142049"/>
    <w:rsid w:val="001611A3"/>
    <w:rsid w:val="00165398"/>
    <w:rsid w:val="00167B79"/>
    <w:rsid w:val="001922B6"/>
    <w:rsid w:val="001A3299"/>
    <w:rsid w:val="001C197C"/>
    <w:rsid w:val="001C23D7"/>
    <w:rsid w:val="001C54DD"/>
    <w:rsid w:val="001C553E"/>
    <w:rsid w:val="001D40A3"/>
    <w:rsid w:val="001E3F2F"/>
    <w:rsid w:val="001E554F"/>
    <w:rsid w:val="001E5DB0"/>
    <w:rsid w:val="00205381"/>
    <w:rsid w:val="00206309"/>
    <w:rsid w:val="00211C63"/>
    <w:rsid w:val="0021796B"/>
    <w:rsid w:val="00237C9C"/>
    <w:rsid w:val="002537EC"/>
    <w:rsid w:val="0026683E"/>
    <w:rsid w:val="002835B4"/>
    <w:rsid w:val="00283E7D"/>
    <w:rsid w:val="002920C3"/>
    <w:rsid w:val="002A3C78"/>
    <w:rsid w:val="002B7E7C"/>
    <w:rsid w:val="002C3E2B"/>
    <w:rsid w:val="002D2239"/>
    <w:rsid w:val="002F0FDA"/>
    <w:rsid w:val="00303268"/>
    <w:rsid w:val="00305614"/>
    <w:rsid w:val="003309C3"/>
    <w:rsid w:val="0034655D"/>
    <w:rsid w:val="00370B07"/>
    <w:rsid w:val="003713BA"/>
    <w:rsid w:val="00382CAC"/>
    <w:rsid w:val="003A29B6"/>
    <w:rsid w:val="003A538F"/>
    <w:rsid w:val="003B0638"/>
    <w:rsid w:val="003C3C99"/>
    <w:rsid w:val="00414877"/>
    <w:rsid w:val="00415730"/>
    <w:rsid w:val="00432112"/>
    <w:rsid w:val="00445BD7"/>
    <w:rsid w:val="00463E44"/>
    <w:rsid w:val="00463EAB"/>
    <w:rsid w:val="004A09D5"/>
    <w:rsid w:val="004B2AD1"/>
    <w:rsid w:val="004E3B45"/>
    <w:rsid w:val="004F62E5"/>
    <w:rsid w:val="00501C3F"/>
    <w:rsid w:val="00514FFF"/>
    <w:rsid w:val="00523EED"/>
    <w:rsid w:val="00531ADF"/>
    <w:rsid w:val="005350C8"/>
    <w:rsid w:val="00546BAE"/>
    <w:rsid w:val="00552287"/>
    <w:rsid w:val="0057373E"/>
    <w:rsid w:val="00593075"/>
    <w:rsid w:val="005C1E58"/>
    <w:rsid w:val="005D296B"/>
    <w:rsid w:val="005D4537"/>
    <w:rsid w:val="005E5EB6"/>
    <w:rsid w:val="00603F00"/>
    <w:rsid w:val="00610C07"/>
    <w:rsid w:val="00635994"/>
    <w:rsid w:val="00636682"/>
    <w:rsid w:val="006373C4"/>
    <w:rsid w:val="00643DD1"/>
    <w:rsid w:val="00654C8F"/>
    <w:rsid w:val="006762F0"/>
    <w:rsid w:val="006779A7"/>
    <w:rsid w:val="0069136F"/>
    <w:rsid w:val="006A4286"/>
    <w:rsid w:val="006A5645"/>
    <w:rsid w:val="006A56FF"/>
    <w:rsid w:val="006B4261"/>
    <w:rsid w:val="006C71FC"/>
    <w:rsid w:val="006F019B"/>
    <w:rsid w:val="00714D29"/>
    <w:rsid w:val="00765DBE"/>
    <w:rsid w:val="00774AAA"/>
    <w:rsid w:val="007B1826"/>
    <w:rsid w:val="007B380A"/>
    <w:rsid w:val="007C1457"/>
    <w:rsid w:val="007E5235"/>
    <w:rsid w:val="007E5E07"/>
    <w:rsid w:val="00802E13"/>
    <w:rsid w:val="00836C95"/>
    <w:rsid w:val="008420E3"/>
    <w:rsid w:val="0084346E"/>
    <w:rsid w:val="0084723D"/>
    <w:rsid w:val="00853754"/>
    <w:rsid w:val="00853F91"/>
    <w:rsid w:val="0088174D"/>
    <w:rsid w:val="0089396C"/>
    <w:rsid w:val="008A303E"/>
    <w:rsid w:val="008C7005"/>
    <w:rsid w:val="008D2A60"/>
    <w:rsid w:val="008E37C8"/>
    <w:rsid w:val="009033DD"/>
    <w:rsid w:val="00932C93"/>
    <w:rsid w:val="00940B0C"/>
    <w:rsid w:val="009421C1"/>
    <w:rsid w:val="009500E9"/>
    <w:rsid w:val="009517EC"/>
    <w:rsid w:val="00975D24"/>
    <w:rsid w:val="0099512A"/>
    <w:rsid w:val="009A32A2"/>
    <w:rsid w:val="009D6C5D"/>
    <w:rsid w:val="00A0552D"/>
    <w:rsid w:val="00A40D32"/>
    <w:rsid w:val="00A46744"/>
    <w:rsid w:val="00A90FC1"/>
    <w:rsid w:val="00A91E0C"/>
    <w:rsid w:val="00A930B2"/>
    <w:rsid w:val="00AA05AB"/>
    <w:rsid w:val="00AA338F"/>
    <w:rsid w:val="00AC6519"/>
    <w:rsid w:val="00AD4460"/>
    <w:rsid w:val="00AD45DE"/>
    <w:rsid w:val="00AE7F70"/>
    <w:rsid w:val="00B04DA7"/>
    <w:rsid w:val="00B25E53"/>
    <w:rsid w:val="00B34953"/>
    <w:rsid w:val="00B541CC"/>
    <w:rsid w:val="00B772A1"/>
    <w:rsid w:val="00B87C5D"/>
    <w:rsid w:val="00B94D4F"/>
    <w:rsid w:val="00BA0530"/>
    <w:rsid w:val="00BD1794"/>
    <w:rsid w:val="00BD3D8F"/>
    <w:rsid w:val="00BE24A1"/>
    <w:rsid w:val="00C231C0"/>
    <w:rsid w:val="00C2628D"/>
    <w:rsid w:val="00C37082"/>
    <w:rsid w:val="00C4159C"/>
    <w:rsid w:val="00C47C55"/>
    <w:rsid w:val="00C85055"/>
    <w:rsid w:val="00CA505A"/>
    <w:rsid w:val="00D0212F"/>
    <w:rsid w:val="00D0271E"/>
    <w:rsid w:val="00D31E33"/>
    <w:rsid w:val="00D63EE0"/>
    <w:rsid w:val="00D71D80"/>
    <w:rsid w:val="00DB0857"/>
    <w:rsid w:val="00DB4836"/>
    <w:rsid w:val="00DD3EFF"/>
    <w:rsid w:val="00DD7577"/>
    <w:rsid w:val="00DF170E"/>
    <w:rsid w:val="00DF4F7A"/>
    <w:rsid w:val="00E1349F"/>
    <w:rsid w:val="00E1653C"/>
    <w:rsid w:val="00E55252"/>
    <w:rsid w:val="00E563A6"/>
    <w:rsid w:val="00E81976"/>
    <w:rsid w:val="00E87F21"/>
    <w:rsid w:val="00EA5946"/>
    <w:rsid w:val="00EA5D0F"/>
    <w:rsid w:val="00EB0FE0"/>
    <w:rsid w:val="00EB5D8D"/>
    <w:rsid w:val="00EC136D"/>
    <w:rsid w:val="00ED7100"/>
    <w:rsid w:val="00EF1C27"/>
    <w:rsid w:val="00EF37B9"/>
    <w:rsid w:val="00F02194"/>
    <w:rsid w:val="00F07B51"/>
    <w:rsid w:val="00F21850"/>
    <w:rsid w:val="00F23E41"/>
    <w:rsid w:val="00F414E2"/>
    <w:rsid w:val="00F41D19"/>
    <w:rsid w:val="00F43C80"/>
    <w:rsid w:val="00F51F18"/>
    <w:rsid w:val="00F57B7A"/>
    <w:rsid w:val="00F75810"/>
    <w:rsid w:val="00F82708"/>
    <w:rsid w:val="00F976D3"/>
    <w:rsid w:val="00FA05C8"/>
    <w:rsid w:val="00FA2534"/>
    <w:rsid w:val="00FA71E0"/>
    <w:rsid w:val="00FA7F54"/>
    <w:rsid w:val="00FB7B3C"/>
    <w:rsid w:val="00FE0B22"/>
    <w:rsid w:val="00FE0F4A"/>
    <w:rsid w:val="00FE27A5"/>
    <w:rsid w:val="00FF29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5F8D4DF"/>
  <w15:chartTrackingRefBased/>
  <w15:docId w15:val="{62EBE15F-2C38-ED4B-AFED-A04F0B105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82"/>
    <w:pPr>
      <w:jc w:val="both"/>
    </w:pPr>
    <w:rPr>
      <w:rFonts w:ascii="Times New Roman" w:hAnsi="Times New Roman"/>
      <w:szCs w:val="22"/>
    </w:rPr>
  </w:style>
  <w:style w:type="paragraph" w:styleId="Titre1">
    <w:name w:val="heading 1"/>
    <w:basedOn w:val="Normal"/>
    <w:next w:val="Normal"/>
    <w:link w:val="Titre1Car"/>
    <w:uiPriority w:val="9"/>
    <w:qFormat/>
    <w:rsid w:val="00BD3D8F"/>
    <w:pPr>
      <w:keepNext/>
      <w:keepLines/>
      <w:spacing w:before="360"/>
      <w:jc w:val="center"/>
      <w:outlineLvl w:val="0"/>
    </w:pPr>
    <w:rPr>
      <w:rFonts w:eastAsiaTheme="majorEastAsia" w:cstheme="majorBidi"/>
      <w:color w:val="000000" w:themeColor="text1"/>
      <w:sz w:val="48"/>
      <w:szCs w:val="40"/>
      <w:u w:val="single"/>
    </w:rPr>
  </w:style>
  <w:style w:type="paragraph" w:styleId="Titre2">
    <w:name w:val="heading 2"/>
    <w:basedOn w:val="Normal"/>
    <w:next w:val="Normal"/>
    <w:link w:val="Titre2Car"/>
    <w:uiPriority w:val="9"/>
    <w:semiHidden/>
    <w:unhideWhenUsed/>
    <w:qFormat/>
    <w:rsid w:val="00B25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25E5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semiHidden/>
    <w:unhideWhenUsed/>
    <w:qFormat/>
    <w:rsid w:val="005E5EB6"/>
    <w:pPr>
      <w:keepNext/>
      <w:spacing w:after="0" w:line="240" w:lineRule="auto"/>
      <w:jc w:val="center"/>
      <w:outlineLvl w:val="3"/>
    </w:pPr>
    <w:rPr>
      <w:rFonts w:eastAsia="Times New Roman" w:cs="Times New Roman"/>
      <w:b/>
      <w:sz w:val="32"/>
      <w:szCs w:val="20"/>
      <w:lang w:eastAsia="fr-FR"/>
    </w:rPr>
  </w:style>
  <w:style w:type="paragraph" w:styleId="Titre5">
    <w:name w:val="heading 5"/>
    <w:basedOn w:val="Normal"/>
    <w:next w:val="Normal"/>
    <w:link w:val="Titre5Car"/>
    <w:uiPriority w:val="9"/>
    <w:semiHidden/>
    <w:unhideWhenUsed/>
    <w:qFormat/>
    <w:rsid w:val="00B25E53"/>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B25E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B25E53"/>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B25E53"/>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semiHidden/>
    <w:unhideWhenUsed/>
    <w:qFormat/>
    <w:rsid w:val="005E5EB6"/>
    <w:pPr>
      <w:keepNext/>
      <w:spacing w:after="0" w:line="240" w:lineRule="auto"/>
      <w:jc w:val="right"/>
      <w:outlineLvl w:val="8"/>
    </w:pPr>
    <w:rPr>
      <w:rFonts w:ascii="Times" w:eastAsia="Times New Roman" w:hAnsi="Times" w:cs="Times New Roman"/>
      <w:sz w:val="28"/>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semiHidden/>
    <w:rsid w:val="005E5EB6"/>
    <w:rPr>
      <w:rFonts w:ascii="Times New Roman" w:eastAsia="Times New Roman" w:hAnsi="Times New Roman" w:cs="Times New Roman"/>
      <w:b/>
      <w:sz w:val="32"/>
      <w:szCs w:val="20"/>
      <w:lang w:eastAsia="fr-FR"/>
    </w:rPr>
  </w:style>
  <w:style w:type="character" w:customStyle="1" w:styleId="Titre9Car">
    <w:name w:val="Titre 9 Car"/>
    <w:basedOn w:val="Policepardfaut"/>
    <w:link w:val="Titre9"/>
    <w:semiHidden/>
    <w:rsid w:val="005E5EB6"/>
    <w:rPr>
      <w:rFonts w:ascii="Times" w:eastAsia="Times New Roman" w:hAnsi="Times" w:cs="Times New Roman"/>
      <w:sz w:val="28"/>
      <w:szCs w:val="20"/>
      <w:lang w:eastAsia="fr-FR"/>
    </w:rPr>
  </w:style>
  <w:style w:type="paragraph" w:styleId="Sansinterligne">
    <w:name w:val="No Spacing"/>
    <w:uiPriority w:val="1"/>
    <w:qFormat/>
    <w:rsid w:val="005E5EB6"/>
    <w:rPr>
      <w:sz w:val="22"/>
      <w:szCs w:val="22"/>
    </w:rPr>
  </w:style>
  <w:style w:type="paragraph" w:styleId="Paragraphedeliste">
    <w:name w:val="List Paragraph"/>
    <w:basedOn w:val="Normal"/>
    <w:uiPriority w:val="34"/>
    <w:qFormat/>
    <w:rsid w:val="005E5EB6"/>
    <w:pPr>
      <w:ind w:left="720"/>
      <w:contextualSpacing/>
    </w:pPr>
  </w:style>
  <w:style w:type="character" w:customStyle="1" w:styleId="Titre1Car">
    <w:name w:val="Titre 1 Car"/>
    <w:basedOn w:val="Policepardfaut"/>
    <w:link w:val="Titre1"/>
    <w:uiPriority w:val="9"/>
    <w:rsid w:val="00BD3D8F"/>
    <w:rPr>
      <w:rFonts w:ascii="Times New Roman" w:eastAsiaTheme="majorEastAsia" w:hAnsi="Times New Roman" w:cstheme="majorBidi"/>
      <w:color w:val="000000" w:themeColor="text1"/>
      <w:sz w:val="48"/>
      <w:szCs w:val="40"/>
      <w:u w:val="single"/>
    </w:rPr>
  </w:style>
  <w:style w:type="character" w:customStyle="1" w:styleId="Titre2Car">
    <w:name w:val="Titre 2 Car"/>
    <w:basedOn w:val="Policepardfaut"/>
    <w:link w:val="Titre2"/>
    <w:uiPriority w:val="9"/>
    <w:semiHidden/>
    <w:rsid w:val="00B25E5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25E53"/>
    <w:rPr>
      <w:rFonts w:eastAsiaTheme="majorEastAsia" w:cstheme="majorBidi"/>
      <w:color w:val="0F4761" w:themeColor="accent1" w:themeShade="BF"/>
      <w:sz w:val="28"/>
      <w:szCs w:val="28"/>
    </w:rPr>
  </w:style>
  <w:style w:type="character" w:customStyle="1" w:styleId="Titre5Car">
    <w:name w:val="Titre 5 Car"/>
    <w:basedOn w:val="Policepardfaut"/>
    <w:link w:val="Titre5"/>
    <w:uiPriority w:val="9"/>
    <w:semiHidden/>
    <w:rsid w:val="00B25E53"/>
    <w:rPr>
      <w:rFonts w:eastAsiaTheme="majorEastAsia" w:cstheme="majorBidi"/>
      <w:color w:val="0F4761" w:themeColor="accent1" w:themeShade="BF"/>
      <w:szCs w:val="22"/>
    </w:rPr>
  </w:style>
  <w:style w:type="character" w:customStyle="1" w:styleId="Titre6Car">
    <w:name w:val="Titre 6 Car"/>
    <w:basedOn w:val="Policepardfaut"/>
    <w:link w:val="Titre6"/>
    <w:uiPriority w:val="9"/>
    <w:semiHidden/>
    <w:rsid w:val="00B25E53"/>
    <w:rPr>
      <w:rFonts w:eastAsiaTheme="majorEastAsia" w:cstheme="majorBidi"/>
      <w:i/>
      <w:iCs/>
      <w:color w:val="595959" w:themeColor="text1" w:themeTint="A6"/>
      <w:szCs w:val="22"/>
    </w:rPr>
  </w:style>
  <w:style w:type="character" w:customStyle="1" w:styleId="Titre7Car">
    <w:name w:val="Titre 7 Car"/>
    <w:basedOn w:val="Policepardfaut"/>
    <w:link w:val="Titre7"/>
    <w:uiPriority w:val="9"/>
    <w:semiHidden/>
    <w:rsid w:val="00B25E53"/>
    <w:rPr>
      <w:rFonts w:eastAsiaTheme="majorEastAsia" w:cstheme="majorBidi"/>
      <w:color w:val="595959" w:themeColor="text1" w:themeTint="A6"/>
      <w:szCs w:val="22"/>
    </w:rPr>
  </w:style>
  <w:style w:type="character" w:customStyle="1" w:styleId="Titre8Car">
    <w:name w:val="Titre 8 Car"/>
    <w:basedOn w:val="Policepardfaut"/>
    <w:link w:val="Titre8"/>
    <w:uiPriority w:val="9"/>
    <w:semiHidden/>
    <w:rsid w:val="00B25E53"/>
    <w:rPr>
      <w:rFonts w:eastAsiaTheme="majorEastAsia" w:cstheme="majorBidi"/>
      <w:i/>
      <w:iCs/>
      <w:color w:val="272727" w:themeColor="text1" w:themeTint="D8"/>
      <w:szCs w:val="22"/>
    </w:rPr>
  </w:style>
  <w:style w:type="paragraph" w:styleId="Titre">
    <w:name w:val="Title"/>
    <w:basedOn w:val="Normal"/>
    <w:next w:val="Normal"/>
    <w:link w:val="TitreCar"/>
    <w:uiPriority w:val="10"/>
    <w:qFormat/>
    <w:rsid w:val="00B25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5E5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25E5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5E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25E5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B25E53"/>
    <w:rPr>
      <w:rFonts w:ascii="Times New Roman" w:hAnsi="Times New Roman"/>
      <w:i/>
      <w:iCs/>
      <w:color w:val="404040" w:themeColor="text1" w:themeTint="BF"/>
      <w:szCs w:val="22"/>
    </w:rPr>
  </w:style>
  <w:style w:type="character" w:styleId="Accentuationintense">
    <w:name w:val="Intense Emphasis"/>
    <w:basedOn w:val="Policepardfaut"/>
    <w:uiPriority w:val="21"/>
    <w:qFormat/>
    <w:rsid w:val="00B25E53"/>
    <w:rPr>
      <w:i/>
      <w:iCs/>
      <w:color w:val="0F4761" w:themeColor="accent1" w:themeShade="BF"/>
    </w:rPr>
  </w:style>
  <w:style w:type="paragraph" w:styleId="Citationintense">
    <w:name w:val="Intense Quote"/>
    <w:basedOn w:val="Normal"/>
    <w:next w:val="Normal"/>
    <w:link w:val="CitationintenseCar"/>
    <w:uiPriority w:val="30"/>
    <w:qFormat/>
    <w:rsid w:val="00B25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25E53"/>
    <w:rPr>
      <w:rFonts w:ascii="Times New Roman" w:hAnsi="Times New Roman"/>
      <w:i/>
      <w:iCs/>
      <w:color w:val="0F4761" w:themeColor="accent1" w:themeShade="BF"/>
      <w:szCs w:val="22"/>
    </w:rPr>
  </w:style>
  <w:style w:type="character" w:styleId="Rfrenceintense">
    <w:name w:val="Intense Reference"/>
    <w:basedOn w:val="Policepardfaut"/>
    <w:uiPriority w:val="32"/>
    <w:qFormat/>
    <w:rsid w:val="00B25E53"/>
    <w:rPr>
      <w:b/>
      <w:bCs/>
      <w:smallCaps/>
      <w:color w:val="0F4761" w:themeColor="accent1" w:themeShade="BF"/>
      <w:spacing w:val="5"/>
    </w:rPr>
  </w:style>
  <w:style w:type="character" w:styleId="Lienhypertexte">
    <w:name w:val="Hyperlink"/>
    <w:basedOn w:val="Policepardfaut"/>
    <w:uiPriority w:val="99"/>
    <w:unhideWhenUsed/>
    <w:rsid w:val="00714D29"/>
    <w:rPr>
      <w:color w:val="467886" w:themeColor="hyperlink"/>
      <w:u w:val="single"/>
    </w:rPr>
  </w:style>
  <w:style w:type="character" w:styleId="Mentionnonrsolue">
    <w:name w:val="Unresolved Mention"/>
    <w:basedOn w:val="Policepardfaut"/>
    <w:uiPriority w:val="99"/>
    <w:semiHidden/>
    <w:unhideWhenUsed/>
    <w:rsid w:val="00714D29"/>
    <w:rPr>
      <w:color w:val="605E5C"/>
      <w:shd w:val="clear" w:color="auto" w:fill="E1DFDD"/>
    </w:rPr>
  </w:style>
  <w:style w:type="paragraph" w:styleId="Notedebasdepage">
    <w:name w:val="footnote text"/>
    <w:basedOn w:val="Normal"/>
    <w:link w:val="NotedebasdepageCar"/>
    <w:uiPriority w:val="99"/>
    <w:semiHidden/>
    <w:unhideWhenUsed/>
    <w:rsid w:val="007E5E0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E5E07"/>
    <w:rPr>
      <w:rFonts w:ascii="Times New Roman" w:hAnsi="Times New Roman"/>
      <w:sz w:val="20"/>
      <w:szCs w:val="20"/>
    </w:rPr>
  </w:style>
  <w:style w:type="character" w:styleId="Appelnotedebasdep">
    <w:name w:val="footnote reference"/>
    <w:basedOn w:val="Policepardfaut"/>
    <w:uiPriority w:val="99"/>
    <w:semiHidden/>
    <w:unhideWhenUsed/>
    <w:rsid w:val="007E5E07"/>
    <w:rPr>
      <w:vertAlign w:val="superscript"/>
    </w:rPr>
  </w:style>
  <w:style w:type="paragraph" w:styleId="NormalWeb">
    <w:name w:val="Normal (Web)"/>
    <w:basedOn w:val="Normal"/>
    <w:uiPriority w:val="99"/>
    <w:semiHidden/>
    <w:unhideWhenUsed/>
    <w:rsid w:val="00FE27A5"/>
    <w:pPr>
      <w:spacing w:before="100" w:beforeAutospacing="1" w:after="100" w:afterAutospacing="1" w:line="240" w:lineRule="auto"/>
      <w:jc w:val="left"/>
    </w:pPr>
    <w:rPr>
      <w:rFonts w:eastAsia="Times New Roman" w:cs="Times New Roman"/>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F2B14-BAD0-0044-809E-C2E3FC4EE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2276</TotalTime>
  <Pages>14</Pages>
  <Words>7022</Words>
  <Characters>38622</Characters>
  <Application>Microsoft Office Word</Application>
  <DocSecurity>0</DocSecurity>
  <Lines>321</Lines>
  <Paragraphs>91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Decroix</dc:creator>
  <cp:keywords/>
  <dc:description/>
  <cp:lastModifiedBy>Alexandre Decroix</cp:lastModifiedBy>
  <cp:revision>34</cp:revision>
  <dcterms:created xsi:type="dcterms:W3CDTF">2025-12-22T09:39:00Z</dcterms:created>
  <dcterms:modified xsi:type="dcterms:W3CDTF">2026-01-19T12:23:00Z</dcterms:modified>
</cp:coreProperties>
</file>