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871A" w14:textId="3C9D6C55" w:rsidR="00AE7F70" w:rsidRDefault="00DB7B5C" w:rsidP="00B75ACF">
      <w:pPr>
        <w:spacing w:line="240" w:lineRule="auto"/>
      </w:pPr>
      <w:r>
        <w:t xml:space="preserve">Note RJCDI </w:t>
      </w:r>
      <w:r w:rsidR="00B75ACF">
        <w:t>nᵒ 102</w:t>
      </w:r>
      <w:r>
        <w:t xml:space="preserve"> </w:t>
      </w:r>
    </w:p>
    <w:p w14:paraId="681DC934" w14:textId="77777777" w:rsidR="004F1CBA" w:rsidRDefault="004F1CBA" w:rsidP="00B75ACF">
      <w:pPr>
        <w:spacing w:line="240" w:lineRule="auto"/>
        <w:rPr>
          <w:b/>
          <w:bCs/>
          <w:u w:val="single"/>
        </w:rPr>
      </w:pPr>
    </w:p>
    <w:p w14:paraId="57DE7E2E" w14:textId="7E3A2234" w:rsidR="00910B3F" w:rsidRPr="00AB594A" w:rsidRDefault="00DB7B5C" w:rsidP="00B75ACF">
      <w:pPr>
        <w:spacing w:line="240" w:lineRule="auto"/>
        <w:rPr>
          <w:b/>
          <w:bCs/>
          <w:u w:val="single"/>
        </w:rPr>
      </w:pPr>
      <w:r w:rsidRPr="00AB594A">
        <w:rPr>
          <w:b/>
          <w:bCs/>
          <w:u w:val="single"/>
        </w:rPr>
        <w:t>Arrêts et décision</w:t>
      </w:r>
      <w:r w:rsidR="00A67E94">
        <w:rPr>
          <w:b/>
          <w:bCs/>
          <w:u w:val="single"/>
        </w:rPr>
        <w:t>s</w:t>
      </w:r>
      <w:r w:rsidRPr="00AB594A">
        <w:rPr>
          <w:b/>
          <w:bCs/>
          <w:u w:val="single"/>
        </w:rPr>
        <w:t xml:space="preserve"> rendus à l’occasion de la </w:t>
      </w:r>
      <w:r w:rsidR="00AB594A" w:rsidRPr="00AB594A">
        <w:rPr>
          <w:b/>
          <w:bCs/>
          <w:u w:val="single"/>
        </w:rPr>
        <w:t>77</w:t>
      </w:r>
      <w:r w:rsidR="00AB594A" w:rsidRPr="00AB594A">
        <w:rPr>
          <w:b/>
          <w:bCs/>
          <w:u w:val="single"/>
          <w:vertAlign w:val="superscript"/>
        </w:rPr>
        <w:t>ème</w:t>
      </w:r>
      <w:r w:rsidR="00AB594A" w:rsidRPr="00AB594A">
        <w:rPr>
          <w:b/>
          <w:bCs/>
          <w:u w:val="single"/>
        </w:rPr>
        <w:t xml:space="preserve"> session du 2 au 25 juin 2025</w:t>
      </w:r>
    </w:p>
    <w:p w14:paraId="1F7A1BF8" w14:textId="77777777" w:rsidR="004F1CBA" w:rsidRDefault="004F1CBA" w:rsidP="00B75ACF">
      <w:pPr>
        <w:spacing w:line="240" w:lineRule="auto"/>
        <w:rPr>
          <w:u w:val="single"/>
        </w:rPr>
      </w:pPr>
    </w:p>
    <w:p w14:paraId="3F7210A9" w14:textId="139CB95E" w:rsidR="00AB594A" w:rsidRPr="00462794" w:rsidRDefault="00D675EB" w:rsidP="00B75ACF">
      <w:pPr>
        <w:spacing w:line="240" w:lineRule="auto"/>
        <w:rPr>
          <w:u w:val="single"/>
        </w:rPr>
      </w:pPr>
      <w:hyperlink r:id="rId5" w:history="1">
        <w:r w:rsidR="0015386C" w:rsidRPr="00D675EB">
          <w:rPr>
            <w:rStyle w:val="Lienhypertexte"/>
          </w:rPr>
          <w:t>Arrêt</w:t>
        </w:r>
        <w:r w:rsidR="00AB594A" w:rsidRPr="00D675EB">
          <w:rPr>
            <w:rStyle w:val="Lienhypertexte"/>
          </w:rPr>
          <w:t xml:space="preserve">, </w:t>
        </w:r>
        <w:r w:rsidR="00AB594A" w:rsidRPr="00D675EB">
          <w:rPr>
            <w:rStyle w:val="Lienhypertexte"/>
            <w:i/>
            <w:iCs/>
          </w:rPr>
          <w:t xml:space="preserve">Chief </w:t>
        </w:r>
        <w:proofErr w:type="spellStart"/>
        <w:r w:rsidR="00AB594A" w:rsidRPr="00D675EB">
          <w:rPr>
            <w:rStyle w:val="Lienhypertexte"/>
            <w:i/>
            <w:iCs/>
          </w:rPr>
          <w:t>Festus</w:t>
        </w:r>
        <w:proofErr w:type="spellEnd"/>
        <w:r w:rsidR="00AB594A" w:rsidRPr="00D675EB">
          <w:rPr>
            <w:rStyle w:val="Lienhypertexte"/>
            <w:i/>
            <w:iCs/>
          </w:rPr>
          <w:t xml:space="preserve"> A. </w:t>
        </w:r>
        <w:proofErr w:type="spellStart"/>
        <w:r w:rsidR="00AB594A" w:rsidRPr="00D675EB">
          <w:rPr>
            <w:rStyle w:val="Lienhypertexte"/>
            <w:i/>
            <w:iCs/>
          </w:rPr>
          <w:t>Ogwuche</w:t>
        </w:r>
        <w:proofErr w:type="spellEnd"/>
        <w:r w:rsidR="00AB594A" w:rsidRPr="00D675EB">
          <w:rPr>
            <w:rStyle w:val="Lienhypertexte"/>
            <w:i/>
            <w:iCs/>
          </w:rPr>
          <w:t xml:space="preserve"> &amp; 25 </w:t>
        </w:r>
        <w:r w:rsidR="00B75ACF" w:rsidRPr="00D675EB">
          <w:rPr>
            <w:rStyle w:val="Lienhypertexte"/>
            <w:i/>
            <w:iCs/>
          </w:rPr>
          <w:t>autres</w:t>
        </w:r>
        <w:r w:rsidR="00AB594A" w:rsidRPr="00D675EB">
          <w:rPr>
            <w:rStyle w:val="Lienhypertexte"/>
            <w:i/>
            <w:iCs/>
          </w:rPr>
          <w:t xml:space="preserve"> c. </w:t>
        </w:r>
        <w:r w:rsidR="00B75ACF" w:rsidRPr="00D675EB">
          <w:rPr>
            <w:rStyle w:val="Lienhypertexte"/>
            <w:i/>
            <w:iCs/>
          </w:rPr>
          <w:t>République</w:t>
        </w:r>
        <w:r w:rsidR="00AB594A" w:rsidRPr="00D675EB">
          <w:rPr>
            <w:rStyle w:val="Lienhypertexte"/>
            <w:i/>
            <w:iCs/>
          </w:rPr>
          <w:t xml:space="preserve"> du Burkina </w:t>
        </w:r>
        <w:r w:rsidR="00AB594A" w:rsidRPr="00D675EB">
          <w:rPr>
            <w:rStyle w:val="Lienhypertexte"/>
          </w:rPr>
          <w:t xml:space="preserve">Faso, 17 </w:t>
        </w:r>
        <w:r w:rsidR="00B75ACF" w:rsidRPr="00D675EB">
          <w:rPr>
            <w:rStyle w:val="Lienhypertexte"/>
          </w:rPr>
          <w:t>juin</w:t>
        </w:r>
        <w:r w:rsidR="00AB594A" w:rsidRPr="00D675EB">
          <w:rPr>
            <w:rStyle w:val="Lienhypertexte"/>
          </w:rPr>
          <w:t xml:space="preserve"> 2025, </w:t>
        </w:r>
        <w:r w:rsidR="00B75ACF" w:rsidRPr="00D675EB">
          <w:rPr>
            <w:rStyle w:val="Lienhypertexte"/>
          </w:rPr>
          <w:t>exception</w:t>
        </w:r>
        <w:r w:rsidR="00AB594A" w:rsidRPr="00D675EB">
          <w:rPr>
            <w:rStyle w:val="Lienhypertexte"/>
          </w:rPr>
          <w:t xml:space="preserve"> d’incom</w:t>
        </w:r>
        <w:r w:rsidR="00AB594A" w:rsidRPr="00D675EB">
          <w:rPr>
            <w:rStyle w:val="Lienhypertexte"/>
          </w:rPr>
          <w:t>p</w:t>
        </w:r>
        <w:r w:rsidR="00AB594A" w:rsidRPr="00D675EB">
          <w:rPr>
            <w:rStyle w:val="Lienhypertexte"/>
          </w:rPr>
          <w:t>étence</w:t>
        </w:r>
        <w:r w:rsidR="0015386C" w:rsidRPr="00D675EB">
          <w:rPr>
            <w:rStyle w:val="Lienhypertexte"/>
          </w:rPr>
          <w:t>, r</w:t>
        </w:r>
        <w:r w:rsidR="0015386C" w:rsidRPr="00D675EB">
          <w:rPr>
            <w:rStyle w:val="Lienhypertexte"/>
          </w:rPr>
          <w:t>equête 005/2024</w:t>
        </w:r>
      </w:hyperlink>
    </w:p>
    <w:p w14:paraId="48F218F5" w14:textId="44F34BE3" w:rsidR="009459C2" w:rsidRDefault="004F1CBA" w:rsidP="00B75ACF">
      <w:pPr>
        <w:spacing w:line="240" w:lineRule="auto"/>
      </w:pPr>
      <w:r>
        <w:t>La Cour a radié de la liste des requérants une ONG au motif que celle-ci ne serait pas habilité</w:t>
      </w:r>
      <w:r w:rsidR="00347F0F">
        <w:t>e</w:t>
      </w:r>
      <w:r>
        <w:t xml:space="preserve"> à introduire ou à être partie à une instance devant elle, dans la mesure où celle-ci n’a pas le statut d’observateur auprès de la Commission (§18). Elle a également radié un certain nombre d’États au motif que sa </w:t>
      </w:r>
      <w:r w:rsidRPr="004F1CBA">
        <w:t>compétence personnelle n’ét</w:t>
      </w:r>
      <w:r>
        <w:t>ait</w:t>
      </w:r>
      <w:r w:rsidRPr="004F1CBA">
        <w:t xml:space="preserve"> pas établie à l’égard de ces États.</w:t>
      </w:r>
    </w:p>
    <w:p w14:paraId="7D6D2F4B" w14:textId="6934D124" w:rsidR="004F1CBA" w:rsidRDefault="004F1CBA" w:rsidP="00B75ACF">
      <w:pPr>
        <w:spacing w:line="240" w:lineRule="auto"/>
        <w:rPr>
          <w:i/>
          <w:iCs/>
        </w:rPr>
      </w:pPr>
      <w:r>
        <w:t xml:space="preserve">La Requête est désormais intitulée </w:t>
      </w:r>
      <w:r w:rsidRPr="004F1CBA">
        <w:rPr>
          <w:i/>
          <w:iCs/>
        </w:rPr>
        <w:t xml:space="preserve">Chief </w:t>
      </w:r>
      <w:proofErr w:type="spellStart"/>
      <w:r w:rsidRPr="004F1CBA">
        <w:rPr>
          <w:i/>
          <w:iCs/>
        </w:rPr>
        <w:t>FestusA</w:t>
      </w:r>
      <w:proofErr w:type="spellEnd"/>
      <w:r w:rsidRPr="004F1CBA">
        <w:rPr>
          <w:i/>
          <w:iCs/>
        </w:rPr>
        <w:t xml:space="preserve">. </w:t>
      </w:r>
      <w:proofErr w:type="spellStart"/>
      <w:r w:rsidRPr="004F1CBA">
        <w:rPr>
          <w:i/>
          <w:iCs/>
        </w:rPr>
        <w:t>Ogwuche</w:t>
      </w:r>
      <w:proofErr w:type="spellEnd"/>
      <w:r w:rsidRPr="004F1CBA">
        <w:rPr>
          <w:i/>
          <w:iCs/>
        </w:rPr>
        <w:t xml:space="preserve"> et 24 autres c. Burkina Faso et 5 autres États</w:t>
      </w:r>
      <w:r>
        <w:rPr>
          <w:i/>
          <w:iCs/>
        </w:rPr>
        <w:t xml:space="preserve">. </w:t>
      </w:r>
    </w:p>
    <w:p w14:paraId="30534AD1" w14:textId="77777777" w:rsidR="00B75ACF" w:rsidRPr="00B75ACF" w:rsidRDefault="00B75ACF" w:rsidP="00B75ACF">
      <w:pPr>
        <w:spacing w:line="240" w:lineRule="auto"/>
        <w:rPr>
          <w:i/>
          <w:iCs/>
        </w:rPr>
      </w:pPr>
    </w:p>
    <w:p w14:paraId="6C915D60" w14:textId="63F217E8" w:rsidR="00AB594A" w:rsidRPr="00A95B8B" w:rsidRDefault="00D675EB" w:rsidP="00B75ACF">
      <w:pPr>
        <w:spacing w:line="240" w:lineRule="auto"/>
        <w:rPr>
          <w:u w:val="single"/>
        </w:rPr>
      </w:pPr>
      <w:hyperlink r:id="rId6" w:history="1">
        <w:r w:rsidR="0015386C" w:rsidRPr="00D675EB">
          <w:rPr>
            <w:rStyle w:val="Lienhypertexte"/>
          </w:rPr>
          <w:t>Arrêt</w:t>
        </w:r>
        <w:r w:rsidR="00AB594A" w:rsidRPr="00D675EB">
          <w:rPr>
            <w:rStyle w:val="Lienhypertexte"/>
          </w:rPr>
          <w:t xml:space="preserve">, </w:t>
        </w:r>
        <w:proofErr w:type="spellStart"/>
        <w:r w:rsidR="00AB594A" w:rsidRPr="00D675EB">
          <w:rPr>
            <w:rStyle w:val="Lienhypertexte"/>
            <w:i/>
            <w:iCs/>
          </w:rPr>
          <w:t>Alasad</w:t>
        </w:r>
        <w:proofErr w:type="spellEnd"/>
        <w:r w:rsidR="00AB594A" w:rsidRPr="00D675EB">
          <w:rPr>
            <w:rStyle w:val="Lienhypertexte"/>
            <w:i/>
            <w:iCs/>
          </w:rPr>
          <w:t xml:space="preserve"> </w:t>
        </w:r>
        <w:proofErr w:type="spellStart"/>
        <w:r w:rsidR="00AB594A" w:rsidRPr="00D675EB">
          <w:rPr>
            <w:rStyle w:val="Lienhypertexte"/>
            <w:i/>
            <w:iCs/>
          </w:rPr>
          <w:t>Milaad</w:t>
        </w:r>
        <w:proofErr w:type="spellEnd"/>
        <w:r w:rsidR="00AB594A" w:rsidRPr="00D675EB">
          <w:rPr>
            <w:rStyle w:val="Lienhypertexte"/>
            <w:i/>
            <w:iCs/>
          </w:rPr>
          <w:t xml:space="preserve"> c. République Tunisienne</w:t>
        </w:r>
        <w:r w:rsidR="00AB594A" w:rsidRPr="00D675EB">
          <w:rPr>
            <w:rStyle w:val="Lienhypertexte"/>
          </w:rPr>
          <w:t xml:space="preserve">, 26 </w:t>
        </w:r>
        <w:r w:rsidR="00B75ACF" w:rsidRPr="00D675EB">
          <w:rPr>
            <w:rStyle w:val="Lienhypertexte"/>
          </w:rPr>
          <w:t>juin</w:t>
        </w:r>
        <w:r w:rsidR="00AB594A" w:rsidRPr="00D675EB">
          <w:rPr>
            <w:rStyle w:val="Lienhypertexte"/>
          </w:rPr>
          <w:t xml:space="preserve"> 2025, </w:t>
        </w:r>
        <w:r w:rsidR="00B75ACF" w:rsidRPr="00D675EB">
          <w:rPr>
            <w:rStyle w:val="Lienhypertexte"/>
          </w:rPr>
          <w:t>fond</w:t>
        </w:r>
        <w:r w:rsidR="00AB594A" w:rsidRPr="00D675EB">
          <w:rPr>
            <w:rStyle w:val="Lienhypertexte"/>
          </w:rPr>
          <w:t xml:space="preserve"> et réparations</w:t>
        </w:r>
        <w:r w:rsidR="0015386C" w:rsidRPr="00D675EB">
          <w:rPr>
            <w:rStyle w:val="Lienhypertexte"/>
          </w:rPr>
          <w:t>, r</w:t>
        </w:r>
        <w:r w:rsidR="0015386C" w:rsidRPr="00D675EB">
          <w:rPr>
            <w:rStyle w:val="Lienhypertexte"/>
          </w:rPr>
          <w:t>equête 032/2018</w:t>
        </w:r>
      </w:hyperlink>
    </w:p>
    <w:p w14:paraId="73B2C71B" w14:textId="19706416" w:rsidR="00152DE8" w:rsidRDefault="002C0B07" w:rsidP="00B75ACF">
      <w:pPr>
        <w:spacing w:line="240" w:lineRule="auto"/>
      </w:pPr>
      <w:r w:rsidRPr="00152DE8">
        <w:t>Le</w:t>
      </w:r>
      <w:r w:rsidR="00152DE8" w:rsidRPr="00152DE8">
        <w:t xml:space="preserve"> </w:t>
      </w:r>
      <w:r w:rsidR="00A95B8B">
        <w:t>r</w:t>
      </w:r>
      <w:r w:rsidR="00A95B8B" w:rsidRPr="00152DE8">
        <w:t>equérant est</w:t>
      </w:r>
      <w:r w:rsidR="00152DE8" w:rsidRPr="00152DE8">
        <w:t xml:space="preserve"> un ressortissant tunisien. Il allègue</w:t>
      </w:r>
      <w:r w:rsidR="00594CB7">
        <w:t xml:space="preserve">, dans sa requête introduite le 11 septembre 2018, </w:t>
      </w:r>
      <w:r w:rsidR="00066C0A">
        <w:t xml:space="preserve">de </w:t>
      </w:r>
      <w:r w:rsidR="00152DE8" w:rsidRPr="00152DE8">
        <w:t xml:space="preserve">la violation de son droit à un procès équitable et </w:t>
      </w:r>
      <w:r w:rsidR="00066C0A">
        <w:t xml:space="preserve">de </w:t>
      </w:r>
      <w:r w:rsidR="00152DE8" w:rsidRPr="00152DE8">
        <w:t>son droit de propriété concernant la vente aux enchères d’un terrain dont l’issue ne lui a pas été favorable.</w:t>
      </w:r>
      <w:r w:rsidR="00152DE8">
        <w:t xml:space="preserve"> (§1)</w:t>
      </w:r>
    </w:p>
    <w:p w14:paraId="40034BD8" w14:textId="692EE18A" w:rsidR="00152DE8" w:rsidRDefault="00152DE8" w:rsidP="00B75ACF">
      <w:pPr>
        <w:spacing w:line="240" w:lineRule="auto"/>
      </w:pPr>
      <w:r>
        <w:t xml:space="preserve">La requête est dirigée contre la Tunisie. Malgré le retrait de la déclaration de reconnaissance de compétence prévue à l’article 34(6) le 7 mars 2025, </w:t>
      </w:r>
      <w:r w:rsidR="00B75ACF">
        <w:t>la</w:t>
      </w:r>
      <w:r>
        <w:t xml:space="preserve"> Cour mentionnant sa décision </w:t>
      </w:r>
      <w:proofErr w:type="spellStart"/>
      <w:r w:rsidRPr="00152DE8">
        <w:rPr>
          <w:i/>
          <w:iCs/>
        </w:rPr>
        <w:t>Mouaz</w:t>
      </w:r>
      <w:proofErr w:type="spellEnd"/>
      <w:r w:rsidRPr="00152DE8">
        <w:rPr>
          <w:i/>
          <w:iCs/>
        </w:rPr>
        <w:t xml:space="preserve"> </w:t>
      </w:r>
      <w:proofErr w:type="spellStart"/>
      <w:r w:rsidRPr="00152DE8">
        <w:rPr>
          <w:i/>
          <w:iCs/>
        </w:rPr>
        <w:t>Khariji</w:t>
      </w:r>
      <w:proofErr w:type="spellEnd"/>
      <w:r w:rsidRPr="00152DE8">
        <w:rPr>
          <w:i/>
          <w:iCs/>
        </w:rPr>
        <w:t xml:space="preserve"> Ghannouchi et autres c. </w:t>
      </w:r>
      <w:proofErr w:type="spellStart"/>
      <w:r w:rsidRPr="00152DE8">
        <w:rPr>
          <w:i/>
          <w:iCs/>
        </w:rPr>
        <w:t>République</w:t>
      </w:r>
      <w:proofErr w:type="spellEnd"/>
      <w:r w:rsidRPr="00152DE8">
        <w:rPr>
          <w:i/>
          <w:iCs/>
        </w:rPr>
        <w:t xml:space="preserve"> tunisienne</w:t>
      </w:r>
      <w:r>
        <w:t xml:space="preserve"> a considéré que « </w:t>
      </w:r>
      <w:r w:rsidRPr="00152DE8">
        <w:t xml:space="preserve">le retrait de la </w:t>
      </w:r>
      <w:r w:rsidR="00635737" w:rsidRPr="00152DE8">
        <w:t>Déclaration</w:t>
      </w:r>
      <w:r w:rsidRPr="00152DE8">
        <w:t xml:space="preserve"> n’avait aucune incidence, ni sur les affaires pendantes, ni sur les nouvelles affaires introduites devant elle avant sa prise d’effet un an </w:t>
      </w:r>
      <w:r w:rsidR="00635737" w:rsidRPr="00152DE8">
        <w:t>après</w:t>
      </w:r>
      <w:r w:rsidRPr="00152DE8">
        <w:t xml:space="preserve"> le </w:t>
      </w:r>
      <w:r w:rsidR="00A67E94" w:rsidRPr="00152DE8">
        <w:t>dépôt</w:t>
      </w:r>
      <w:r w:rsidRPr="00152DE8">
        <w:t xml:space="preserve"> de l’instrument y relatif, à savoir le 8 mars 2026</w:t>
      </w:r>
      <w:r>
        <w:t> » (§2)</w:t>
      </w:r>
      <w:r w:rsidR="00066C0A">
        <w:t>.</w:t>
      </w:r>
    </w:p>
    <w:p w14:paraId="6A942C3F" w14:textId="468F5EF9" w:rsidR="004A2F34" w:rsidRDefault="004A2F34" w:rsidP="00B75ACF">
      <w:pPr>
        <w:spacing w:line="240" w:lineRule="auto"/>
      </w:pPr>
      <w:r>
        <w:t xml:space="preserve">La Cour a rejeté l’exception préliminaire d’incompétence </w:t>
      </w:r>
      <w:r>
        <w:rPr>
          <w:i/>
          <w:iCs/>
        </w:rPr>
        <w:t xml:space="preserve">rationne materiae </w:t>
      </w:r>
      <w:r>
        <w:t>soulevé</w:t>
      </w:r>
      <w:r w:rsidR="00066C0A">
        <w:t>e</w:t>
      </w:r>
      <w:r>
        <w:t xml:space="preserve"> par l’État défendeur au motif que la requête ne relèverait pas des droits de l’Homme. (§32). Du reste la Cour se déclare compétente (§37).</w:t>
      </w:r>
    </w:p>
    <w:p w14:paraId="67C15D1B" w14:textId="58A31723" w:rsidR="0096202D" w:rsidRDefault="00A2664A" w:rsidP="00B75ACF">
      <w:pPr>
        <w:spacing w:line="240" w:lineRule="auto"/>
      </w:pPr>
      <w:r>
        <w:t>La Cour n’a par ailleurs pas accueilli l’exception d’irrecevabilité soulevé</w:t>
      </w:r>
      <w:r w:rsidR="00066C0A">
        <w:t>e</w:t>
      </w:r>
      <w:r>
        <w:t xml:space="preserve"> par l’État défendeur </w:t>
      </w:r>
      <w:r w:rsidR="00066C0A">
        <w:t xml:space="preserve">au motif </w:t>
      </w:r>
      <w:r>
        <w:t>que « </w:t>
      </w:r>
      <w:r w:rsidRPr="00A2664A">
        <w:t xml:space="preserve">la </w:t>
      </w:r>
      <w:r w:rsidR="0002548F">
        <w:t>requête</w:t>
      </w:r>
      <w:r w:rsidRPr="00A2664A">
        <w:t xml:space="preserve"> porte sur un jugement rendu par ses juridictions internes, qui sont indépendantes. Il soutient en conséquence que la remise en cause des décisions rendues par lesdites juridictions est un acte grave qui porte atteinte à la souveraineté de l’État.</w:t>
      </w:r>
      <w:r>
        <w:t xml:space="preserve"> » (§50). Faisant </w:t>
      </w:r>
      <w:r w:rsidR="00635737">
        <w:t>mention</w:t>
      </w:r>
      <w:r>
        <w:t xml:space="preserve"> de la décision </w:t>
      </w:r>
      <w:r w:rsidRPr="00A2664A">
        <w:rPr>
          <w:i/>
          <w:iCs/>
        </w:rPr>
        <w:t xml:space="preserve">CPJI, Vapeur Wimbledon, Allemagne </w:t>
      </w:r>
      <w:proofErr w:type="gramStart"/>
      <w:r w:rsidRPr="00A2664A">
        <w:rPr>
          <w:i/>
          <w:iCs/>
        </w:rPr>
        <w:t>c .</w:t>
      </w:r>
      <w:proofErr w:type="gramEnd"/>
      <w:r w:rsidRPr="00A2664A">
        <w:rPr>
          <w:i/>
          <w:iCs/>
        </w:rPr>
        <w:t xml:space="preserve"> France et autres,</w:t>
      </w:r>
      <w:r>
        <w:t xml:space="preserve"> la Cour a rappelé que « </w:t>
      </w:r>
      <w:r w:rsidRPr="00A2664A">
        <w:t>la souveraineté d’un État n’est pas illimitée</w:t>
      </w:r>
      <w:r w:rsidR="0096202D">
        <w:t> »</w:t>
      </w:r>
      <w:r>
        <w:t xml:space="preserve">, et qu’un État dans la mesure </w:t>
      </w:r>
      <w:r w:rsidR="0096202D">
        <w:t xml:space="preserve">où il a souscrit volontairement à des </w:t>
      </w:r>
      <w:r w:rsidR="004E7FD7">
        <w:t>engagements,</w:t>
      </w:r>
      <w:r w:rsidR="0096202D">
        <w:t xml:space="preserve"> peut voir sa responsabilité engagée. En outre, mentionnant la décision</w:t>
      </w:r>
      <w:r w:rsidR="0096202D" w:rsidRPr="00A2664A">
        <w:t xml:space="preserve">, </w:t>
      </w:r>
      <w:proofErr w:type="spellStart"/>
      <w:r w:rsidR="0096202D" w:rsidRPr="00A2664A">
        <w:rPr>
          <w:i/>
          <w:iCs/>
        </w:rPr>
        <w:t>LaGrand</w:t>
      </w:r>
      <w:proofErr w:type="spellEnd"/>
      <w:r w:rsidR="0096202D" w:rsidRPr="00A2664A">
        <w:t xml:space="preserve"> (</w:t>
      </w:r>
      <w:r w:rsidR="004E7FD7">
        <w:t xml:space="preserve">CIJ (arrêt), </w:t>
      </w:r>
      <w:r w:rsidR="0096202D" w:rsidRPr="00A2664A">
        <w:rPr>
          <w:i/>
          <w:iCs/>
        </w:rPr>
        <w:t xml:space="preserve">Allemagne c. </w:t>
      </w:r>
      <w:proofErr w:type="spellStart"/>
      <w:r w:rsidR="0096202D" w:rsidRPr="00A2664A">
        <w:rPr>
          <w:i/>
          <w:iCs/>
        </w:rPr>
        <w:t>États</w:t>
      </w:r>
      <w:proofErr w:type="spellEnd"/>
      <w:r w:rsidR="0096202D" w:rsidRPr="00A2664A">
        <w:rPr>
          <w:i/>
          <w:iCs/>
        </w:rPr>
        <w:t xml:space="preserve"> Unis</w:t>
      </w:r>
      <w:r w:rsidR="0096202D" w:rsidRPr="00A2664A">
        <w:t>)</w:t>
      </w:r>
      <w:r w:rsidR="0096202D">
        <w:t xml:space="preserve"> du </w:t>
      </w:r>
      <w:r w:rsidR="0096202D" w:rsidRPr="00A2664A">
        <w:t>27 juin 2001</w:t>
      </w:r>
      <w:r w:rsidR="0096202D">
        <w:t>, la Cour a rappelé que « </w:t>
      </w:r>
      <w:r w:rsidR="0096202D" w:rsidRPr="0096202D">
        <w:t>le comportement de tout organe d’un État doit être regardé comme un fait de cet État »</w:t>
      </w:r>
      <w:r w:rsidR="0096202D">
        <w:t xml:space="preserve"> y compris les juridictions dudit </w:t>
      </w:r>
      <w:r w:rsidR="0002548F">
        <w:t>État</w:t>
      </w:r>
      <w:r w:rsidR="00676155">
        <w:t xml:space="preserve"> </w:t>
      </w:r>
      <w:r w:rsidR="0096202D">
        <w:t>(§56)</w:t>
      </w:r>
      <w:r w:rsidR="00676155">
        <w:t>.</w:t>
      </w:r>
    </w:p>
    <w:p w14:paraId="16CDFD36" w14:textId="7837DF03" w:rsidR="00A95B8B" w:rsidRDefault="00321027" w:rsidP="00B75ACF">
      <w:pPr>
        <w:spacing w:line="240" w:lineRule="auto"/>
      </w:pPr>
      <w:r>
        <w:t xml:space="preserve">Rappelant </w:t>
      </w:r>
      <w:r w:rsidR="0076259D">
        <w:t xml:space="preserve">ses </w:t>
      </w:r>
      <w:r w:rsidR="00594CB7">
        <w:t>conclusions</w:t>
      </w:r>
      <w:r w:rsidR="0076259D">
        <w:t xml:space="preserve"> dans l’affaire </w:t>
      </w:r>
      <w:r w:rsidR="0076259D" w:rsidRPr="00594CB7">
        <w:rPr>
          <w:i/>
          <w:iCs/>
        </w:rPr>
        <w:t>Alex Thomas c. République-Unie de Tanzanie</w:t>
      </w:r>
      <w:r w:rsidR="0076259D">
        <w:t>, la Cour réaffirme qu’elle « n’est pas une instance d’appel des décisions rendues par les juridictions nationales.</w:t>
      </w:r>
      <w:r w:rsidR="0002548F">
        <w:t> »</w:t>
      </w:r>
      <w:r w:rsidR="0076259D">
        <w:t xml:space="preserve"> La Cour se borne donc à apprécier de la conformité des procédures avec les normes prescrites par la Charte (§91). La Cour relève à ce titre que </w:t>
      </w:r>
      <w:r w:rsidR="00594CB7">
        <w:t>les juridictions tunisiennes</w:t>
      </w:r>
      <w:r w:rsidR="0076259D">
        <w:t xml:space="preserve"> ont motivé leur interprétation de l’article 444 du </w:t>
      </w:r>
      <w:r w:rsidR="00F06FCC">
        <w:t>Code</w:t>
      </w:r>
      <w:r w:rsidR="0076259D">
        <w:t xml:space="preserve"> de procédure civile et commerciale tunisien, et que de ce fait, le requérant </w:t>
      </w:r>
      <w:r w:rsidR="005522FA">
        <w:t>n’avait</w:t>
      </w:r>
      <w:r w:rsidR="0076259D">
        <w:t xml:space="preserve"> « pas démontré l’irrégularité </w:t>
      </w:r>
      <w:r w:rsidR="0076259D" w:rsidRPr="0076259D">
        <w:t xml:space="preserve">apparente ou l’application erronée de la </w:t>
      </w:r>
      <w:r w:rsidR="0076259D" w:rsidRPr="0076259D">
        <w:lastRenderedPageBreak/>
        <w:t xml:space="preserve">loi par les juges nationaux, qui </w:t>
      </w:r>
      <w:r w:rsidR="0002548F">
        <w:t>nécessiteraient</w:t>
      </w:r>
      <w:r w:rsidR="0076259D" w:rsidRPr="0076259D">
        <w:t xml:space="preserve"> l’intervention de la Cour de céans.</w:t>
      </w:r>
      <w:r w:rsidR="0076259D">
        <w:t xml:space="preserve"> » (§98). En revanche, par une lecture conjointe de l’article 7(1) de la Charte, 14(1) du PIDCP, ainsi que </w:t>
      </w:r>
      <w:r w:rsidR="00F06FCC">
        <w:t>du</w:t>
      </w:r>
      <w:r w:rsidR="0076259D">
        <w:t xml:space="preserve"> </w:t>
      </w:r>
      <w:r w:rsidR="00594CB7" w:rsidRPr="00594CB7">
        <w:t>Principe A/9 des Principes et Directives de la Commission africaine des droits de l’homme et des peuples relatifs au procès équitable et à l’assistance judiciaire en Afrique</w:t>
      </w:r>
      <w:r w:rsidR="00594CB7">
        <w:t>, la Cour a reconnu une violation du droit au prononcé des décisions en séance publique, déduit du droit à un procès équitable, au motif que deux</w:t>
      </w:r>
      <w:r w:rsidR="005522FA">
        <w:t xml:space="preserve"> des</w:t>
      </w:r>
      <w:r w:rsidR="00594CB7">
        <w:t xml:space="preserve"> décisions</w:t>
      </w:r>
      <w:r w:rsidR="005522FA">
        <w:t xml:space="preserve"> le concernant</w:t>
      </w:r>
      <w:r w:rsidR="00594CB7">
        <w:t xml:space="preserve"> ne comportaient pas de preuves du prononcé en séance publique</w:t>
      </w:r>
      <w:r w:rsidR="00F06FCC">
        <w:t xml:space="preserve"> </w:t>
      </w:r>
      <w:r w:rsidR="00594CB7">
        <w:t xml:space="preserve">(§108). La Cour n’a en revanche, pas accueilli le moyen tiré d’une violation de l’article 14. </w:t>
      </w:r>
    </w:p>
    <w:p w14:paraId="3B82E8E7" w14:textId="77777777" w:rsidR="004F1CBA" w:rsidRDefault="004F1CBA" w:rsidP="00B75ACF">
      <w:pPr>
        <w:spacing w:line="240" w:lineRule="auto"/>
      </w:pPr>
    </w:p>
    <w:p w14:paraId="74EAAAC1" w14:textId="15BC3584" w:rsidR="00AB594A" w:rsidRPr="00B75ACF" w:rsidRDefault="00D675EB" w:rsidP="00B75ACF">
      <w:pPr>
        <w:spacing w:line="240" w:lineRule="auto"/>
        <w:rPr>
          <w:u w:val="single"/>
        </w:rPr>
      </w:pPr>
      <w:hyperlink r:id="rId7" w:history="1">
        <w:r w:rsidR="0015386C" w:rsidRPr="00D675EB">
          <w:rPr>
            <w:rStyle w:val="Lienhypertexte"/>
          </w:rPr>
          <w:t>Arrêt</w:t>
        </w:r>
        <w:r w:rsidR="00AB594A" w:rsidRPr="00D675EB">
          <w:rPr>
            <w:rStyle w:val="Lienhypertexte"/>
          </w:rPr>
          <w:t>,</w:t>
        </w:r>
        <w:r w:rsidR="0015386C" w:rsidRPr="00D675EB">
          <w:rPr>
            <w:rStyle w:val="Lienhypertexte"/>
          </w:rPr>
          <w:t xml:space="preserve"> </w:t>
        </w:r>
        <w:r w:rsidR="00AB594A" w:rsidRPr="00D675EB">
          <w:rPr>
            <w:rStyle w:val="Lienhypertexte"/>
            <w:i/>
            <w:iCs/>
          </w:rPr>
          <w:t>Tembo Hussein c. République unie de Tanzanie</w:t>
        </w:r>
        <w:r w:rsidR="00AB594A" w:rsidRPr="00D675EB">
          <w:rPr>
            <w:rStyle w:val="Lienhypertexte"/>
          </w:rPr>
          <w:t xml:space="preserve">, 26 </w:t>
        </w:r>
        <w:r w:rsidR="0015386C" w:rsidRPr="00D675EB">
          <w:rPr>
            <w:rStyle w:val="Lienhypertexte"/>
          </w:rPr>
          <w:t>j</w:t>
        </w:r>
        <w:r w:rsidR="00AB594A" w:rsidRPr="00D675EB">
          <w:rPr>
            <w:rStyle w:val="Lienhypertexte"/>
          </w:rPr>
          <w:t xml:space="preserve">uin 2025, </w:t>
        </w:r>
        <w:r w:rsidR="0015386C" w:rsidRPr="00D675EB">
          <w:rPr>
            <w:rStyle w:val="Lienhypertexte"/>
          </w:rPr>
          <w:t>f</w:t>
        </w:r>
        <w:r w:rsidR="00AB594A" w:rsidRPr="00D675EB">
          <w:rPr>
            <w:rStyle w:val="Lienhypertexte"/>
          </w:rPr>
          <w:t>ond et réparations</w:t>
        </w:r>
        <w:r w:rsidR="0015386C" w:rsidRPr="00D675EB">
          <w:rPr>
            <w:rStyle w:val="Lienhypertexte"/>
          </w:rPr>
          <w:t>, r</w:t>
        </w:r>
        <w:r w:rsidR="0015386C" w:rsidRPr="00D675EB">
          <w:rPr>
            <w:rStyle w:val="Lienhypertexte"/>
          </w:rPr>
          <w:t>equête 001/20</w:t>
        </w:r>
        <w:r w:rsidR="0015386C" w:rsidRPr="00D675EB">
          <w:rPr>
            <w:rStyle w:val="Lienhypertexte"/>
          </w:rPr>
          <w:t>1</w:t>
        </w:r>
        <w:r w:rsidR="0015386C" w:rsidRPr="00D675EB">
          <w:rPr>
            <w:rStyle w:val="Lienhypertexte"/>
          </w:rPr>
          <w:t>8</w:t>
        </w:r>
      </w:hyperlink>
    </w:p>
    <w:p w14:paraId="19FBB9D5" w14:textId="7CE07A4C" w:rsidR="004F1CBA" w:rsidRDefault="00960A44" w:rsidP="00B75ACF">
      <w:pPr>
        <w:spacing w:after="0" w:line="240" w:lineRule="auto"/>
      </w:pPr>
      <w:r w:rsidRPr="00FA1B1E">
        <w:t>Le</w:t>
      </w:r>
      <w:r w:rsidR="00FA1B1E" w:rsidRPr="00FA1B1E">
        <w:t xml:space="preserve"> </w:t>
      </w:r>
      <w:r w:rsidR="005764B7">
        <w:t>r</w:t>
      </w:r>
      <w:r w:rsidR="00FA1B1E" w:rsidRPr="00FA1B1E">
        <w:t>equérant est un ressortissant tanzanien. Au moment de l’introduction de la présente Requête, il était détenu dans le couloir de</w:t>
      </w:r>
      <w:r>
        <w:t xml:space="preserve"> la mort </w:t>
      </w:r>
      <w:r w:rsidR="00FA1B1E" w:rsidRPr="00FA1B1E">
        <w:t>dans l’attente de l’exécution de la peine de mort par pendaison à laquelle il a été condamné pour meurtre. Il allègue la violation de ses droits dans le cadre de la procédure devant les juridictions nationales.</w:t>
      </w:r>
    </w:p>
    <w:p w14:paraId="31FFCDC4" w14:textId="1F88238A" w:rsidR="004F1CBA" w:rsidRDefault="004F1CBA" w:rsidP="00B75ACF">
      <w:pPr>
        <w:spacing w:after="0" w:line="240" w:lineRule="auto"/>
      </w:pPr>
    </w:p>
    <w:p w14:paraId="169A6DDF" w14:textId="3E605440" w:rsidR="00FA1B1E" w:rsidRDefault="00FA1B1E" w:rsidP="00B75ACF">
      <w:pPr>
        <w:spacing w:line="240" w:lineRule="auto"/>
      </w:pPr>
      <w:r>
        <w:t>La requête est dirigée contre la République-Unie de Tanzanie. Malgré le retrait de la déclaration de reconnaissance de compétence prévue à l’article 34(6) le 21 novembre 2019, l</w:t>
      </w:r>
      <w:r w:rsidR="00F06FCC">
        <w:t>a</w:t>
      </w:r>
      <w:r>
        <w:t xml:space="preserve"> Cour mentionnant sa décision </w:t>
      </w:r>
      <w:r w:rsidRPr="00FA1B1E">
        <w:rPr>
          <w:i/>
          <w:iCs/>
        </w:rPr>
        <w:t xml:space="preserve">Andrew Ambrose </w:t>
      </w:r>
      <w:proofErr w:type="spellStart"/>
      <w:r w:rsidRPr="00FA1B1E">
        <w:rPr>
          <w:i/>
          <w:iCs/>
        </w:rPr>
        <w:t>Cheusi</w:t>
      </w:r>
      <w:proofErr w:type="spellEnd"/>
      <w:r w:rsidRPr="00FA1B1E">
        <w:rPr>
          <w:i/>
          <w:iCs/>
        </w:rPr>
        <w:t xml:space="preserve"> c. </w:t>
      </w:r>
      <w:proofErr w:type="spellStart"/>
      <w:r w:rsidRPr="00FA1B1E">
        <w:rPr>
          <w:i/>
          <w:iCs/>
        </w:rPr>
        <w:t>République-Unie</w:t>
      </w:r>
      <w:proofErr w:type="spellEnd"/>
      <w:r w:rsidRPr="00FA1B1E">
        <w:rPr>
          <w:i/>
          <w:iCs/>
        </w:rPr>
        <w:t xml:space="preserve"> de Tanzanie </w:t>
      </w:r>
      <w:r>
        <w:t>a considéré que « </w:t>
      </w:r>
      <w:r w:rsidRPr="00152DE8">
        <w:t xml:space="preserve">le retrait de la Déclaration n’avait aucune incidence, ni sur les affaires pendantes, ni sur les nouvelles affaires introduites devant elle avant sa prise d’effet un an après le </w:t>
      </w:r>
      <w:proofErr w:type="spellStart"/>
      <w:r w:rsidRPr="00152DE8">
        <w:t>dépôt</w:t>
      </w:r>
      <w:proofErr w:type="spellEnd"/>
      <w:r w:rsidRPr="00152DE8">
        <w:t xml:space="preserve"> de l’instrument y relatif, à savoir le </w:t>
      </w:r>
      <w:r>
        <w:t>22</w:t>
      </w:r>
      <w:r w:rsidRPr="00152DE8">
        <w:t xml:space="preserve"> mars 202</w:t>
      </w:r>
      <w:r>
        <w:t xml:space="preserve">0 » (§2). Or, la requête a été déposée 19 février 2018. </w:t>
      </w:r>
    </w:p>
    <w:p w14:paraId="1B39AC9C" w14:textId="03BB76C8" w:rsidR="005764B7" w:rsidRDefault="00FA1B1E" w:rsidP="00B75ACF">
      <w:pPr>
        <w:spacing w:line="240" w:lineRule="auto"/>
      </w:pPr>
      <w:r>
        <w:t xml:space="preserve">Rappelant sa décision </w:t>
      </w:r>
      <w:r w:rsidRPr="00FA1B1E">
        <w:rPr>
          <w:i/>
          <w:iCs/>
        </w:rPr>
        <w:t xml:space="preserve">Ernest Francis </w:t>
      </w:r>
      <w:proofErr w:type="spellStart"/>
      <w:r w:rsidRPr="00FA1B1E">
        <w:rPr>
          <w:i/>
          <w:iCs/>
        </w:rPr>
        <w:t>Mtingwi</w:t>
      </w:r>
      <w:proofErr w:type="spellEnd"/>
      <w:r w:rsidRPr="00FA1B1E">
        <w:rPr>
          <w:i/>
          <w:iCs/>
        </w:rPr>
        <w:t xml:space="preserve"> c. </w:t>
      </w:r>
      <w:proofErr w:type="spellStart"/>
      <w:r w:rsidRPr="00FA1B1E">
        <w:rPr>
          <w:i/>
          <w:iCs/>
        </w:rPr>
        <w:t>République</w:t>
      </w:r>
      <w:proofErr w:type="spellEnd"/>
      <w:r w:rsidRPr="00FA1B1E">
        <w:rPr>
          <w:i/>
          <w:iCs/>
        </w:rPr>
        <w:t xml:space="preserve"> du Malawi</w:t>
      </w:r>
      <w:r>
        <w:t>, la Cour réaffirme « </w:t>
      </w:r>
      <w:r w:rsidRPr="00FA1B1E">
        <w:t>qu’elle n’est pas une juridiction d’appel à l’</w:t>
      </w:r>
      <w:r w:rsidR="00280DCB" w:rsidRPr="00FA1B1E">
        <w:t>égard</w:t>
      </w:r>
      <w:r w:rsidRPr="00FA1B1E">
        <w:t xml:space="preserve"> des </w:t>
      </w:r>
      <w:r w:rsidR="00280DCB" w:rsidRPr="00FA1B1E">
        <w:t>décisions</w:t>
      </w:r>
      <w:r w:rsidRPr="00FA1B1E">
        <w:t xml:space="preserve"> rendues par les juridictions nationales</w:t>
      </w:r>
      <w:r w:rsidR="005764B7">
        <w:t xml:space="preserve"> </w:t>
      </w:r>
      <w:r>
        <w:t>»</w:t>
      </w:r>
      <w:r w:rsidR="00280DCB">
        <w:t xml:space="preserve"> mais qu’elle est tout de même compétente pour apprécier de la conformité des procédures devant les juridictions nationales avec les normes internationales (</w:t>
      </w:r>
      <w:r>
        <w:t>§27)</w:t>
      </w:r>
      <w:r w:rsidR="00280DCB">
        <w:t>. La Cour rejette donc l’exception allégué</w:t>
      </w:r>
      <w:r w:rsidR="00676155">
        <w:t>e</w:t>
      </w:r>
      <w:r w:rsidR="00280DCB">
        <w:t xml:space="preserve"> de son incompétence matérielle. </w:t>
      </w:r>
    </w:p>
    <w:p w14:paraId="1FD463BA" w14:textId="739F9119" w:rsidR="009E1AF2" w:rsidRDefault="00280DCB" w:rsidP="00B75ACF">
      <w:pPr>
        <w:spacing w:line="240" w:lineRule="auto"/>
      </w:pPr>
      <w:r>
        <w:t xml:space="preserve">La Cour n’a par ailleurs pas accueilli l’argument de l’État défendeur selon </w:t>
      </w:r>
      <w:r w:rsidR="00960A44">
        <w:t>lequel</w:t>
      </w:r>
      <w:r>
        <w:t xml:space="preserve"> le fait que le requérant </w:t>
      </w:r>
      <w:r w:rsidR="005764B7">
        <w:t>n’ait</w:t>
      </w:r>
      <w:r>
        <w:t xml:space="preserve"> pas soulev</w:t>
      </w:r>
      <w:r w:rsidR="009E1AF2">
        <w:t>é</w:t>
      </w:r>
      <w:r>
        <w:t xml:space="preserve"> la question de son contre-interrogatoire devant la Cour d’appel mais qu’il l’ait mentionné devant la Cour, constitu</w:t>
      </w:r>
      <w:r w:rsidR="00960A44">
        <w:t>e</w:t>
      </w:r>
      <w:r>
        <w:t xml:space="preserve"> un non</w:t>
      </w:r>
      <w:r w:rsidR="009E1AF2">
        <w:t>-</w:t>
      </w:r>
      <w:r>
        <w:t>épuisement des voies de recours interne</w:t>
      </w:r>
      <w:r w:rsidR="00960A44">
        <w:t>s</w:t>
      </w:r>
      <w:r w:rsidR="00573E7D">
        <w:t xml:space="preserve"> </w:t>
      </w:r>
      <w:r w:rsidR="009E1AF2">
        <w:t>(§45).</w:t>
      </w:r>
    </w:p>
    <w:p w14:paraId="16974672" w14:textId="1E66F63B" w:rsidR="00FA1B1E" w:rsidRDefault="00573E7D" w:rsidP="00B75ACF">
      <w:pPr>
        <w:spacing w:line="240" w:lineRule="auto"/>
      </w:pPr>
      <w:r>
        <w:t xml:space="preserve">Si la Cour n’a conclu </w:t>
      </w:r>
      <w:r w:rsidR="00A96082">
        <w:t xml:space="preserve">ni </w:t>
      </w:r>
      <w:r>
        <w:t xml:space="preserve">à une violation de l’article 7(1) relatif au droit </w:t>
      </w:r>
      <w:r w:rsidR="008D6409">
        <w:t>d’être jugé par une juridiction impartiale</w:t>
      </w:r>
      <w:r>
        <w:t xml:space="preserve"> (§70), ni de l’article 3</w:t>
      </w:r>
      <w:r w:rsidR="008D6409">
        <w:t xml:space="preserve"> relatif à l’égalité devant loi (§74), elle a en revanche constaté une violation </w:t>
      </w:r>
      <w:r w:rsidR="00D146D2">
        <w:t>de l’article 4 de la Charte relatif au droit à la vie. Rappelant sa jurisprudence (</w:t>
      </w:r>
      <w:r w:rsidR="00F06FCC">
        <w:t xml:space="preserve">v. </w:t>
      </w:r>
      <w:r w:rsidR="00D146D2">
        <w:t>notamment</w:t>
      </w:r>
      <w:r w:rsidR="00F06FCC">
        <w:t> :</w:t>
      </w:r>
      <w:r w:rsidR="00D146D2">
        <w:t xml:space="preserve"> </w:t>
      </w:r>
      <w:r w:rsidR="00AF5F11" w:rsidRPr="00AF5F11">
        <w:rPr>
          <w:i/>
          <w:iCs/>
        </w:rPr>
        <w:t>Ally</w:t>
      </w:r>
      <w:r w:rsidR="00AF5F11">
        <w:t xml:space="preserve"> </w:t>
      </w:r>
      <w:proofErr w:type="spellStart"/>
      <w:r w:rsidR="00D146D2" w:rsidRPr="00D146D2">
        <w:rPr>
          <w:i/>
          <w:iCs/>
        </w:rPr>
        <w:t>Rajabu</w:t>
      </w:r>
      <w:proofErr w:type="spellEnd"/>
      <w:r w:rsidR="00D146D2" w:rsidRPr="00D146D2">
        <w:rPr>
          <w:i/>
          <w:iCs/>
        </w:rPr>
        <w:t xml:space="preserve"> et autres c. Tanzanie</w:t>
      </w:r>
      <w:r w:rsidR="00F06FCC">
        <w:t xml:space="preserve"> ; </w:t>
      </w:r>
      <w:proofErr w:type="spellStart"/>
      <w:r w:rsidR="00D146D2" w:rsidRPr="00D146D2">
        <w:rPr>
          <w:i/>
          <w:iCs/>
        </w:rPr>
        <w:t>Amini</w:t>
      </w:r>
      <w:proofErr w:type="spellEnd"/>
      <w:r w:rsidR="00D146D2" w:rsidRPr="00D146D2">
        <w:rPr>
          <w:i/>
          <w:iCs/>
        </w:rPr>
        <w:t xml:space="preserve"> </w:t>
      </w:r>
      <w:proofErr w:type="spellStart"/>
      <w:r w:rsidR="00D146D2" w:rsidRPr="00D146D2">
        <w:rPr>
          <w:i/>
          <w:iCs/>
        </w:rPr>
        <w:t>Juma</w:t>
      </w:r>
      <w:proofErr w:type="spellEnd"/>
      <w:r w:rsidR="00D146D2" w:rsidRPr="00D146D2">
        <w:rPr>
          <w:i/>
          <w:iCs/>
        </w:rPr>
        <w:t xml:space="preserve"> c. </w:t>
      </w:r>
      <w:proofErr w:type="spellStart"/>
      <w:r w:rsidR="00D146D2" w:rsidRPr="00D146D2">
        <w:rPr>
          <w:i/>
          <w:iCs/>
        </w:rPr>
        <w:t>République-Unie</w:t>
      </w:r>
      <w:proofErr w:type="spellEnd"/>
      <w:r w:rsidR="00D146D2" w:rsidRPr="00D146D2">
        <w:rPr>
          <w:i/>
          <w:iCs/>
        </w:rPr>
        <w:t xml:space="preserve"> de Tanzanie</w:t>
      </w:r>
      <w:r w:rsidR="00D146D2">
        <w:t>) la Cour a réaffirmé que « </w:t>
      </w:r>
      <w:r w:rsidR="00D146D2" w:rsidRPr="00D146D2">
        <w:t>l’application de la peine de mort obligatoire ne respecte pas l’exigence d’équité prévue à l’article 4 de la Charte eu égard à son caractère obligatoire qui ne laisse pas au juge la discrétion de prendre en compte la nature de l’infraction et les circonstances de l’auteur.</w:t>
      </w:r>
      <w:r w:rsidR="00D146D2">
        <w:t xml:space="preserve"> » (§75). La Cour a également réitéré le fait que la peine de mort par pendaison </w:t>
      </w:r>
      <w:r w:rsidR="00AF5F11">
        <w:t xml:space="preserve">est dégradante par nature et </w:t>
      </w:r>
      <w:r w:rsidR="00D146D2">
        <w:t>porte atteinte à la dignité</w:t>
      </w:r>
      <w:r w:rsidR="00AF5F11">
        <w:t xml:space="preserve"> (v. </w:t>
      </w:r>
      <w:r w:rsidR="00AF5F11" w:rsidRPr="00AF5F11">
        <w:rPr>
          <w:i/>
          <w:iCs/>
        </w:rPr>
        <w:t xml:space="preserve">Ally </w:t>
      </w:r>
      <w:proofErr w:type="spellStart"/>
      <w:r w:rsidR="00AF5F11" w:rsidRPr="00AF5F11">
        <w:rPr>
          <w:i/>
          <w:iCs/>
        </w:rPr>
        <w:t>Rajabu</w:t>
      </w:r>
      <w:proofErr w:type="spellEnd"/>
      <w:r w:rsidR="00AF5F11" w:rsidRPr="00AF5F11">
        <w:rPr>
          <w:i/>
          <w:iCs/>
        </w:rPr>
        <w:t xml:space="preserve"> et autres c. </w:t>
      </w:r>
      <w:proofErr w:type="spellStart"/>
      <w:r w:rsidR="00AF5F11" w:rsidRPr="00AF5F11">
        <w:rPr>
          <w:i/>
          <w:iCs/>
        </w:rPr>
        <w:t>République-Unie</w:t>
      </w:r>
      <w:proofErr w:type="spellEnd"/>
      <w:r w:rsidR="00AF5F11" w:rsidRPr="00AF5F11">
        <w:rPr>
          <w:i/>
          <w:iCs/>
        </w:rPr>
        <w:t xml:space="preserve"> de Tanzanie</w:t>
      </w:r>
      <w:r w:rsidR="00AF5F11">
        <w:t xml:space="preserve">). Elle est donc contraire au droit au respect de la dignité prévu à l’article </w:t>
      </w:r>
      <w:r w:rsidR="00E57842">
        <w:t>5</w:t>
      </w:r>
      <w:r w:rsidR="005764B7">
        <w:t>.</w:t>
      </w:r>
      <w:r w:rsidR="00E57842">
        <w:t xml:space="preserve"> Elle a de ce fait o</w:t>
      </w:r>
      <w:r w:rsidR="00890D51">
        <w:t>rdonné à</w:t>
      </w:r>
      <w:r w:rsidR="00E57842">
        <w:t xml:space="preserve"> l’État défendeur « </w:t>
      </w:r>
      <w:r w:rsidR="00E57842" w:rsidRPr="00E57842">
        <w:t xml:space="preserve">d’annuler ladite peine, de retirer le </w:t>
      </w:r>
      <w:r w:rsidR="00A96082">
        <w:t>r</w:t>
      </w:r>
      <w:r w:rsidR="00E57842" w:rsidRPr="00E57842">
        <w:t>equérant du couloir de la mort en attendant la tenue d’une nouvelle audience de fixation de sa peine.</w:t>
      </w:r>
      <w:r w:rsidR="00E57842">
        <w:t> » (§84).</w:t>
      </w:r>
    </w:p>
    <w:p w14:paraId="4BC75048" w14:textId="77777777" w:rsidR="004F1CBA" w:rsidRDefault="004F1CBA" w:rsidP="00B75ACF">
      <w:pPr>
        <w:spacing w:line="240" w:lineRule="auto"/>
      </w:pPr>
    </w:p>
    <w:p w14:paraId="18C9260B" w14:textId="6523BDB9" w:rsidR="00AB594A" w:rsidRPr="00561A02" w:rsidRDefault="00D675EB" w:rsidP="00B75ACF">
      <w:pPr>
        <w:spacing w:line="240" w:lineRule="auto"/>
        <w:rPr>
          <w:u w:val="single"/>
        </w:rPr>
      </w:pPr>
      <w:hyperlink r:id="rId8" w:history="1">
        <w:r w:rsidR="0015386C" w:rsidRPr="00D675EB">
          <w:rPr>
            <w:rStyle w:val="Lienhypertexte"/>
          </w:rPr>
          <w:t>Arrêt</w:t>
        </w:r>
        <w:r w:rsidR="00AB594A" w:rsidRPr="00D675EB">
          <w:rPr>
            <w:rStyle w:val="Lienhypertexte"/>
          </w:rPr>
          <w:t xml:space="preserve">, </w:t>
        </w:r>
        <w:r w:rsidR="00AB594A" w:rsidRPr="00D675EB">
          <w:rPr>
            <w:rStyle w:val="Lienhypertexte"/>
            <w:i/>
            <w:iCs/>
          </w:rPr>
          <w:t xml:space="preserve">Emmanuel </w:t>
        </w:r>
        <w:proofErr w:type="spellStart"/>
        <w:r w:rsidR="00AB594A" w:rsidRPr="00D675EB">
          <w:rPr>
            <w:rStyle w:val="Lienhypertexte"/>
            <w:i/>
            <w:iCs/>
          </w:rPr>
          <w:t>Yusufu</w:t>
        </w:r>
        <w:proofErr w:type="spellEnd"/>
        <w:r w:rsidR="00AB594A" w:rsidRPr="00D675EB">
          <w:rPr>
            <w:rStyle w:val="Lienhypertexte"/>
            <w:i/>
            <w:iCs/>
          </w:rPr>
          <w:t xml:space="preserve"> Noriega c. République unie de Tanzanie</w:t>
        </w:r>
        <w:r w:rsidR="00AB594A" w:rsidRPr="00D675EB">
          <w:rPr>
            <w:rStyle w:val="Lienhypertexte"/>
          </w:rPr>
          <w:t xml:space="preserve">, 26 </w:t>
        </w:r>
        <w:r w:rsidR="0015386C" w:rsidRPr="00D675EB">
          <w:rPr>
            <w:rStyle w:val="Lienhypertexte"/>
          </w:rPr>
          <w:t>j</w:t>
        </w:r>
        <w:r w:rsidR="00AB594A" w:rsidRPr="00D675EB">
          <w:rPr>
            <w:rStyle w:val="Lienhypertexte"/>
          </w:rPr>
          <w:t xml:space="preserve">uin 2025, </w:t>
        </w:r>
        <w:r w:rsidR="0015386C" w:rsidRPr="00D675EB">
          <w:rPr>
            <w:rStyle w:val="Lienhypertexte"/>
          </w:rPr>
          <w:t>f</w:t>
        </w:r>
        <w:r w:rsidR="00AB594A" w:rsidRPr="00D675EB">
          <w:rPr>
            <w:rStyle w:val="Lienhypertexte"/>
          </w:rPr>
          <w:t>ond et réparations</w:t>
        </w:r>
        <w:r w:rsidR="0015386C" w:rsidRPr="00D675EB">
          <w:rPr>
            <w:rStyle w:val="Lienhypertexte"/>
          </w:rPr>
          <w:t xml:space="preserve">, </w:t>
        </w:r>
        <w:r w:rsidR="0015386C" w:rsidRPr="00D675EB">
          <w:rPr>
            <w:rStyle w:val="Lienhypertexte"/>
          </w:rPr>
          <w:t>requête 013/2018</w:t>
        </w:r>
      </w:hyperlink>
    </w:p>
    <w:p w14:paraId="13681340" w14:textId="5A35CD36" w:rsidR="00AB594A" w:rsidRDefault="00960A44" w:rsidP="00B75ACF">
      <w:pPr>
        <w:spacing w:line="240" w:lineRule="auto"/>
      </w:pPr>
      <w:r w:rsidRPr="00561A02">
        <w:t>Le</w:t>
      </w:r>
      <w:r w:rsidR="00561A02" w:rsidRPr="00561A02">
        <w:t xml:space="preserve"> </w:t>
      </w:r>
      <w:r w:rsidR="00A96082">
        <w:t>r</w:t>
      </w:r>
      <w:r w:rsidR="00561A02" w:rsidRPr="00561A02">
        <w:t xml:space="preserve">equérant est un ressortissant tanzanien qui, au moment du dépôt de la présente </w:t>
      </w:r>
      <w:r w:rsidR="00A96082">
        <w:t>r</w:t>
      </w:r>
      <w:r w:rsidR="00561A02" w:rsidRPr="00561A02">
        <w:t xml:space="preserve">equête, était incarcéré, dans l’attente de l’exécution de la peine de mort à laquelle il a été condamné pour meurtre. Le </w:t>
      </w:r>
      <w:r w:rsidR="00A96082">
        <w:t>r</w:t>
      </w:r>
      <w:r w:rsidR="00561A02" w:rsidRPr="00561A02">
        <w:t>equérant allègue la violation de son droit à un procès équitable dans le cadre de la procédure devant les juridictions nationales.</w:t>
      </w:r>
      <w:r w:rsidR="00561A02">
        <w:t xml:space="preserve"> (§1)</w:t>
      </w:r>
    </w:p>
    <w:p w14:paraId="5EB1E347" w14:textId="4F1D3D5F" w:rsidR="00561A02" w:rsidRDefault="006C3409" w:rsidP="00B75ACF">
      <w:pPr>
        <w:spacing w:line="240" w:lineRule="auto"/>
      </w:pPr>
      <w:r>
        <w:t>Certaines</w:t>
      </w:r>
      <w:r w:rsidR="00561A02">
        <w:t xml:space="preserve"> questions </w:t>
      </w:r>
      <w:r>
        <w:t>soulevées</w:t>
      </w:r>
      <w:r w:rsidR="001E6F63">
        <w:t xml:space="preserve"> dans</w:t>
      </w:r>
      <w:r>
        <w:t xml:space="preserve"> </w:t>
      </w:r>
      <w:r w:rsidR="00561A02">
        <w:t xml:space="preserve">cette décision </w:t>
      </w:r>
      <w:r>
        <w:t xml:space="preserve">s’avèrent </w:t>
      </w:r>
      <w:r>
        <w:rPr>
          <w:i/>
          <w:iCs/>
        </w:rPr>
        <w:t xml:space="preserve">mutatis mutandis </w:t>
      </w:r>
      <w:r w:rsidR="00561A02">
        <w:t>similaire</w:t>
      </w:r>
      <w:r>
        <w:t>s</w:t>
      </w:r>
      <w:r w:rsidR="00561A02">
        <w:t xml:space="preserve"> à celles </w:t>
      </w:r>
      <w:r>
        <w:t>de</w:t>
      </w:r>
      <w:r w:rsidR="00561A02">
        <w:t xml:space="preserve"> l’arrêt </w:t>
      </w:r>
      <w:r w:rsidR="00561A02" w:rsidRPr="00561A02">
        <w:rPr>
          <w:i/>
          <w:iCs/>
        </w:rPr>
        <w:t>Tembo Hussein c. République unie de Tanzanie</w:t>
      </w:r>
      <w:r w:rsidR="00561A02">
        <w:rPr>
          <w:i/>
          <w:iCs/>
        </w:rPr>
        <w:t> </w:t>
      </w:r>
      <w:proofErr w:type="gramStart"/>
      <w:r w:rsidR="00561A02">
        <w:t>( v.</w:t>
      </w:r>
      <w:proofErr w:type="gramEnd"/>
      <w:r w:rsidR="00561A02">
        <w:t xml:space="preserve"> </w:t>
      </w:r>
      <w:r w:rsidR="00561A02">
        <w:rPr>
          <w:i/>
          <w:iCs/>
        </w:rPr>
        <w:t>supra</w:t>
      </w:r>
      <w:r w:rsidR="00561A02">
        <w:t>)</w:t>
      </w:r>
      <w:r>
        <w:t>. Tel est le cas</w:t>
      </w:r>
      <w:r w:rsidR="00561A02">
        <w:t xml:space="preserve"> </w:t>
      </w:r>
      <w:r>
        <w:t>s’agissant</w:t>
      </w:r>
      <w:r w:rsidR="00561A02">
        <w:t xml:space="preserve"> </w:t>
      </w:r>
      <w:r>
        <w:t xml:space="preserve">de </w:t>
      </w:r>
      <w:r w:rsidR="000D5C79">
        <w:t>l</w:t>
      </w:r>
      <w:r>
        <w:t xml:space="preserve">a compétence, de la recevabilité de la requête, de l’absence de violations de </w:t>
      </w:r>
      <w:r w:rsidR="001E6F63">
        <w:t>l’</w:t>
      </w:r>
      <w:r>
        <w:t>article 3</w:t>
      </w:r>
      <w:r w:rsidR="00BC7FD7">
        <w:t>, ou des violations systématiques commises par la Tanzanie du fait de sa législation sur la peine de mort obligatoire et autorisant la pendaison.</w:t>
      </w:r>
    </w:p>
    <w:p w14:paraId="269E3E5F" w14:textId="5D0E7D69" w:rsidR="000D5C79" w:rsidRDefault="00EC1338" w:rsidP="00B75ACF">
      <w:pPr>
        <w:spacing w:line="240" w:lineRule="auto"/>
      </w:pPr>
      <w:r>
        <w:t xml:space="preserve">Elle a eu cependant à se prononcer spécifiquement sur des allégations de traitements cruels, inhumains ou dégradants subis </w:t>
      </w:r>
      <w:r w:rsidR="001E6F63">
        <w:t xml:space="preserve">par le requérant </w:t>
      </w:r>
      <w:r>
        <w:t>pendant sa détention par les autorités policière</w:t>
      </w:r>
      <w:r w:rsidR="00A96082">
        <w:t>s</w:t>
      </w:r>
      <w:r>
        <w:t>. Elle a ainsi considéré que malgré sa constatation des blessures du requérant, le juge n’avait pas ordonné l’ouverture d’une enquête sur les circonstances de ces blessures, et que l’État avait de ce fait « </w:t>
      </w:r>
      <w:r w:rsidRPr="00EC1338">
        <w:t>failli à son obligation d’enquêter en cas d’allégations relatives à des traitements cruels, inhumains et dégradants, au sens de l’article 5 de la Charte</w:t>
      </w:r>
      <w:r>
        <w:t xml:space="preserve"> » (§61). </w:t>
      </w:r>
      <w:r w:rsidR="001E6F63">
        <w:t>La Cour a en outre considéré que les violences commises par les policiers à l’égard du requérant constituent une violation de l’article 5 (§70).</w:t>
      </w:r>
    </w:p>
    <w:p w14:paraId="70ECF400" w14:textId="1BCB9A9E" w:rsidR="00561A02" w:rsidRDefault="00BC7FD7" w:rsidP="00B75ACF">
      <w:pPr>
        <w:spacing w:line="240" w:lineRule="auto"/>
      </w:pPr>
      <w:r>
        <w:t xml:space="preserve">Par ailleurs, </w:t>
      </w:r>
      <w:r w:rsidR="00A96082">
        <w:t>m</w:t>
      </w:r>
      <w:r w:rsidR="000D5C79">
        <w:t xml:space="preserve">entionnant sa </w:t>
      </w:r>
      <w:r w:rsidR="002C0B07">
        <w:t>jurisprudence</w:t>
      </w:r>
      <w:r w:rsidR="000D5C79">
        <w:t xml:space="preserve"> (v</w:t>
      </w:r>
      <w:r w:rsidR="000D5C79" w:rsidRPr="003C5F73">
        <w:rPr>
          <w:i/>
          <w:iCs/>
        </w:rPr>
        <w:t xml:space="preserve">. aff. </w:t>
      </w:r>
      <w:proofErr w:type="spellStart"/>
      <w:r w:rsidR="000D5C79" w:rsidRPr="003C5F73">
        <w:rPr>
          <w:i/>
          <w:iCs/>
        </w:rPr>
        <w:t>Gozbert</w:t>
      </w:r>
      <w:proofErr w:type="spellEnd"/>
      <w:r w:rsidR="000D5C79" w:rsidRPr="003C5F73">
        <w:rPr>
          <w:i/>
          <w:iCs/>
        </w:rPr>
        <w:t xml:space="preserve"> </w:t>
      </w:r>
      <w:proofErr w:type="spellStart"/>
      <w:r w:rsidR="000D5C79" w:rsidRPr="003C5F73">
        <w:rPr>
          <w:i/>
          <w:iCs/>
        </w:rPr>
        <w:t>Henerico</w:t>
      </w:r>
      <w:proofErr w:type="spellEnd"/>
      <w:r w:rsidR="000D5C79" w:rsidRPr="003C5F73">
        <w:rPr>
          <w:i/>
          <w:iCs/>
        </w:rPr>
        <w:t xml:space="preserve"> c. Tanzanie</w:t>
      </w:r>
      <w:r w:rsidR="000D5C79">
        <w:t>)</w:t>
      </w:r>
      <w:r w:rsidR="000D5C79" w:rsidRPr="000D5C79">
        <w:t xml:space="preserve"> La Cour </w:t>
      </w:r>
      <w:r w:rsidR="000D5C79">
        <w:t>rappelle</w:t>
      </w:r>
      <w:r w:rsidR="000D5C79" w:rsidRPr="000D5C79">
        <w:t xml:space="preserve"> que « l’assistance judiciaire effective » comporte deux aspects. </w:t>
      </w:r>
      <w:r w:rsidR="000D5C79">
        <w:t>« </w:t>
      </w:r>
      <w:r w:rsidR="000D5C79" w:rsidRPr="000D5C79">
        <w:t>Premièrement, l’avocat de la défense doit exercer sa mission de représentation de son client sans entrave. Deuxièmement, il ne doit pas priver son client d’une assistance efficace en ne le représentant pas de manière adéquat</w:t>
      </w:r>
      <w:r w:rsidR="000D5C79">
        <w:t> » (§81).</w:t>
      </w:r>
      <w:r w:rsidR="00230BB4">
        <w:t xml:space="preserve"> Si les carences d’un avocat ne peuvent être imputées à l’État, la Cour affirme tout de même que le fait que </w:t>
      </w:r>
      <w:r w:rsidR="003C5F73">
        <w:t xml:space="preserve">la Cour d’appel </w:t>
      </w:r>
      <w:r w:rsidR="009B3537">
        <w:t>ait</w:t>
      </w:r>
      <w:r w:rsidR="003C5F73">
        <w:t xml:space="preserve"> mentionné </w:t>
      </w:r>
      <w:r w:rsidR="003C5F73" w:rsidRPr="003C5F73">
        <w:t>que la conduite de l’avocat était « inappropriée et contraire à l’éthique »</w:t>
      </w:r>
      <w:r w:rsidR="003C5F73">
        <w:t xml:space="preserve"> (§88) sans en tirer de conséquence sur la représentation du requérant constituait une atteinte à l’article 7(1)(c) et de l’article 14(3)(d) du PIDCP. La Cour a par ailleurs considéré que le délai de plus de 10 ans entre </w:t>
      </w:r>
      <w:r>
        <w:t xml:space="preserve">l’ouverture du procès et l’arrêt de la Cour d’appel constituait une atteinte à l’article 7(1)(d) d’être jugé dans un délai raisonnable (§104). </w:t>
      </w:r>
      <w:r w:rsidR="003C5F73">
        <w:t xml:space="preserve"> </w:t>
      </w:r>
    </w:p>
    <w:p w14:paraId="59508846" w14:textId="77777777" w:rsidR="000D5C79" w:rsidRDefault="000D5C79" w:rsidP="00B75ACF">
      <w:pPr>
        <w:spacing w:line="240" w:lineRule="auto"/>
      </w:pPr>
    </w:p>
    <w:p w14:paraId="4DF9CAC4" w14:textId="30A3A1C7" w:rsidR="00AB594A" w:rsidRPr="001602B1" w:rsidRDefault="00D675EB" w:rsidP="00B75ACF">
      <w:pPr>
        <w:spacing w:line="240" w:lineRule="auto"/>
        <w:rPr>
          <w:u w:val="single"/>
        </w:rPr>
      </w:pPr>
      <w:hyperlink r:id="rId9" w:history="1">
        <w:r w:rsidR="0015386C" w:rsidRPr="00D675EB">
          <w:rPr>
            <w:rStyle w:val="Lienhypertexte"/>
          </w:rPr>
          <w:t>Arrêt</w:t>
        </w:r>
        <w:r w:rsidR="00AB594A" w:rsidRPr="00D675EB">
          <w:rPr>
            <w:rStyle w:val="Lienhypertexte"/>
          </w:rPr>
          <w:t xml:space="preserve">, </w:t>
        </w:r>
        <w:proofErr w:type="spellStart"/>
        <w:r w:rsidR="00AB594A" w:rsidRPr="00D675EB">
          <w:rPr>
            <w:rStyle w:val="Lienhypertexte"/>
            <w:i/>
            <w:iCs/>
          </w:rPr>
          <w:t>Bahati</w:t>
        </w:r>
        <w:proofErr w:type="spellEnd"/>
        <w:r w:rsidR="00AB594A" w:rsidRPr="00D675EB">
          <w:rPr>
            <w:rStyle w:val="Lienhypertexte"/>
            <w:i/>
            <w:iCs/>
          </w:rPr>
          <w:t xml:space="preserve"> </w:t>
        </w:r>
        <w:proofErr w:type="spellStart"/>
        <w:r w:rsidR="00AB594A" w:rsidRPr="00D675EB">
          <w:rPr>
            <w:rStyle w:val="Lienhypertexte"/>
            <w:i/>
            <w:iCs/>
          </w:rPr>
          <w:t>Mtega</w:t>
        </w:r>
        <w:proofErr w:type="spellEnd"/>
        <w:r w:rsidR="00AB594A" w:rsidRPr="00D675EB">
          <w:rPr>
            <w:rStyle w:val="Lienhypertexte"/>
            <w:i/>
            <w:iCs/>
          </w:rPr>
          <w:t xml:space="preserve"> &amp; </w:t>
        </w:r>
        <w:proofErr w:type="spellStart"/>
        <w:r w:rsidR="00AB594A" w:rsidRPr="00D675EB">
          <w:rPr>
            <w:rStyle w:val="Lienhypertexte"/>
            <w:i/>
            <w:iCs/>
          </w:rPr>
          <w:t>Another</w:t>
        </w:r>
        <w:proofErr w:type="spellEnd"/>
        <w:r w:rsidR="00AB594A" w:rsidRPr="00D675EB">
          <w:rPr>
            <w:rStyle w:val="Lienhypertexte"/>
            <w:i/>
            <w:iCs/>
          </w:rPr>
          <w:t xml:space="preserve"> c. République unie de Tanzanie</w:t>
        </w:r>
        <w:r w:rsidR="00AB594A" w:rsidRPr="00D675EB">
          <w:rPr>
            <w:rStyle w:val="Lienhypertexte"/>
          </w:rPr>
          <w:t xml:space="preserve">, 26 </w:t>
        </w:r>
        <w:r w:rsidR="00571670" w:rsidRPr="00D675EB">
          <w:rPr>
            <w:rStyle w:val="Lienhypertexte"/>
          </w:rPr>
          <w:t>juin</w:t>
        </w:r>
        <w:r w:rsidR="00AB594A" w:rsidRPr="00D675EB">
          <w:rPr>
            <w:rStyle w:val="Lienhypertexte"/>
          </w:rPr>
          <w:t xml:space="preserve"> 2025, </w:t>
        </w:r>
        <w:r w:rsidR="0015386C" w:rsidRPr="00D675EB">
          <w:rPr>
            <w:rStyle w:val="Lienhypertexte"/>
          </w:rPr>
          <w:t>f</w:t>
        </w:r>
        <w:r w:rsidR="00AB594A" w:rsidRPr="00D675EB">
          <w:rPr>
            <w:rStyle w:val="Lienhypertexte"/>
          </w:rPr>
          <w:t>ond et réparations</w:t>
        </w:r>
        <w:r w:rsidR="0015386C" w:rsidRPr="00D675EB">
          <w:rPr>
            <w:rStyle w:val="Lienhypertexte"/>
          </w:rPr>
          <w:t>, r</w:t>
        </w:r>
        <w:r w:rsidR="0015386C" w:rsidRPr="00D675EB">
          <w:rPr>
            <w:rStyle w:val="Lienhypertexte"/>
          </w:rPr>
          <w:t>equête 009/2019</w:t>
        </w:r>
      </w:hyperlink>
    </w:p>
    <w:p w14:paraId="2C180F9E" w14:textId="577CB563" w:rsidR="002C0B07" w:rsidRDefault="005522FA" w:rsidP="00B75ACF">
      <w:pPr>
        <w:spacing w:line="240" w:lineRule="auto"/>
      </w:pPr>
      <w:r w:rsidRPr="001602B1">
        <w:t>Les</w:t>
      </w:r>
      <w:r w:rsidR="001602B1" w:rsidRPr="001602B1">
        <w:t xml:space="preserve"> </w:t>
      </w:r>
      <w:r>
        <w:t>r</w:t>
      </w:r>
      <w:r w:rsidR="001602B1" w:rsidRPr="001602B1">
        <w:t xml:space="preserve">equérants, sont des ressortissants tanzaniens. </w:t>
      </w:r>
      <w:r>
        <w:t>I</w:t>
      </w:r>
      <w:r w:rsidR="001602B1" w:rsidRPr="001602B1">
        <w:t>ls étaient</w:t>
      </w:r>
      <w:r>
        <w:t xml:space="preserve"> incarcérés</w:t>
      </w:r>
      <w:r w:rsidR="001602B1" w:rsidRPr="001602B1">
        <w:t xml:space="preserve">, après avoir été condamnés, pour viol collectif, à 12 coups de fouet et à la réclusion à perpétuité. Ils allèguent </w:t>
      </w:r>
      <w:r>
        <w:t xml:space="preserve">de </w:t>
      </w:r>
      <w:r w:rsidR="001602B1" w:rsidRPr="001602B1">
        <w:t>violation</w:t>
      </w:r>
      <w:r>
        <w:t>s</w:t>
      </w:r>
      <w:r w:rsidR="001602B1" w:rsidRPr="001602B1">
        <w:t>, par l’État défendeur, de leur</w:t>
      </w:r>
      <w:r w:rsidR="009B3537">
        <w:t>s</w:t>
      </w:r>
      <w:r w:rsidR="001602B1" w:rsidRPr="001602B1">
        <w:t xml:space="preserve"> droit</w:t>
      </w:r>
      <w:r w:rsidR="009B3537">
        <w:t>s</w:t>
      </w:r>
      <w:r w:rsidR="001602B1" w:rsidRPr="001602B1">
        <w:t xml:space="preserve"> dans le cadre de la procédure devant les juridictions nationales.</w:t>
      </w:r>
    </w:p>
    <w:p w14:paraId="7C284F85" w14:textId="60714178" w:rsidR="001602B1" w:rsidRDefault="001602B1" w:rsidP="00B75ACF">
      <w:pPr>
        <w:spacing w:line="240" w:lineRule="auto"/>
      </w:pPr>
      <w:r>
        <w:t>La requête n’est pas affectée par le retrait de la déclaration de compétence par l’État de Tanzanie (v. supra</w:t>
      </w:r>
      <w:r w:rsidR="006E6DE0">
        <w:t> </w:t>
      </w:r>
      <w:r>
        <w:t xml:space="preserve">: </w:t>
      </w:r>
      <w:r w:rsidRPr="001602B1">
        <w:rPr>
          <w:i/>
          <w:iCs/>
        </w:rPr>
        <w:t>Tembo Hussein c. République unie de Tanzanie</w:t>
      </w:r>
      <w:r>
        <w:t xml:space="preserve">). </w:t>
      </w:r>
      <w:r w:rsidR="00EE0D70">
        <w:t xml:space="preserve">La Cour s’est ainsi </w:t>
      </w:r>
      <w:r w:rsidR="005522FA">
        <w:t>déclarée</w:t>
      </w:r>
      <w:r w:rsidR="00EE0D70">
        <w:t xml:space="preserve"> compétente, et a déclaré la requête recevable.</w:t>
      </w:r>
    </w:p>
    <w:p w14:paraId="37EAB148" w14:textId="73E97A5F" w:rsidR="00B402CC" w:rsidRDefault="00B402CC" w:rsidP="00B75ACF">
      <w:pPr>
        <w:spacing w:line="240" w:lineRule="auto"/>
      </w:pPr>
      <w:r>
        <w:t>La Cour n’a pas accueilli les allégations de violation des articles 2</w:t>
      </w:r>
      <w:r w:rsidR="005522FA">
        <w:t xml:space="preserve"> et </w:t>
      </w:r>
      <w:r>
        <w:t>3</w:t>
      </w:r>
      <w:r w:rsidR="005522FA">
        <w:t xml:space="preserve"> de la CADHP</w:t>
      </w:r>
      <w:r>
        <w:t xml:space="preserve">. Néanmoins, mentionnant sa décision </w:t>
      </w:r>
      <w:r w:rsidRPr="00B402CC">
        <w:rPr>
          <w:i/>
          <w:iCs/>
        </w:rPr>
        <w:t xml:space="preserve">Yassin Rashid </w:t>
      </w:r>
      <w:proofErr w:type="spellStart"/>
      <w:r w:rsidRPr="00B402CC">
        <w:rPr>
          <w:i/>
          <w:iCs/>
        </w:rPr>
        <w:t>Maige</w:t>
      </w:r>
      <w:proofErr w:type="spellEnd"/>
      <w:r w:rsidRPr="00B402CC">
        <w:rPr>
          <w:i/>
          <w:iCs/>
        </w:rPr>
        <w:t xml:space="preserve"> c. République-Unie de Tanzanie</w:t>
      </w:r>
      <w:r w:rsidRPr="00B402CC">
        <w:t xml:space="preserve">, la Cour </w:t>
      </w:r>
      <w:r>
        <w:t>« </w:t>
      </w:r>
      <w:r w:rsidRPr="00B402CC">
        <w:t>a établi l’incompatibilité des châtiments corporels avec l’article 5 de la Charte</w:t>
      </w:r>
      <w:r>
        <w:t> »</w:t>
      </w:r>
      <w:r w:rsidR="005522FA">
        <w:t xml:space="preserve"> </w:t>
      </w:r>
      <w:r>
        <w:t>(§67). Elle les considère comme constitutifs d’actes de torture. La Cour a par ailleurs considéré que l’État tanzanien avait violé le droit à une assistance judiciaire gratuite tel que déduit d’une lecture conjointe de l’article 7(1)(c)</w:t>
      </w:r>
      <w:r w:rsidR="00F31805">
        <w:t xml:space="preserve"> de la Charte et 14(3)(d) du PIDCP.</w:t>
      </w:r>
    </w:p>
    <w:p w14:paraId="6A4BDEFA" w14:textId="77777777" w:rsidR="00B75ACF" w:rsidRPr="001602B1" w:rsidRDefault="00B75ACF" w:rsidP="00B75ACF">
      <w:pPr>
        <w:spacing w:line="240" w:lineRule="auto"/>
        <w:rPr>
          <w:i/>
          <w:iCs/>
        </w:rPr>
      </w:pPr>
    </w:p>
    <w:p w14:paraId="0E234AE2" w14:textId="50706C33" w:rsidR="00AB594A" w:rsidRPr="002C0B07" w:rsidRDefault="00D675EB" w:rsidP="00B75ACF">
      <w:pPr>
        <w:spacing w:line="240" w:lineRule="auto"/>
        <w:rPr>
          <w:u w:val="single"/>
        </w:rPr>
      </w:pPr>
      <w:hyperlink r:id="rId10" w:history="1">
        <w:r w:rsidR="0015386C" w:rsidRPr="00D675EB">
          <w:rPr>
            <w:rStyle w:val="Lienhypertexte"/>
          </w:rPr>
          <w:t>Arrêt</w:t>
        </w:r>
        <w:r w:rsidR="00AB594A" w:rsidRPr="00D675EB">
          <w:rPr>
            <w:rStyle w:val="Lienhypertexte"/>
          </w:rPr>
          <w:t xml:space="preserve">, </w:t>
        </w:r>
        <w:r w:rsidR="00AB594A" w:rsidRPr="00D675EB">
          <w:rPr>
            <w:rStyle w:val="Lienhypertexte"/>
            <w:i/>
            <w:iCs/>
          </w:rPr>
          <w:t xml:space="preserve">Guillaume </w:t>
        </w:r>
        <w:proofErr w:type="spellStart"/>
        <w:r w:rsidR="00AB594A" w:rsidRPr="00D675EB">
          <w:rPr>
            <w:rStyle w:val="Lienhypertexte"/>
            <w:i/>
            <w:iCs/>
          </w:rPr>
          <w:t>Kigbafori</w:t>
        </w:r>
        <w:proofErr w:type="spellEnd"/>
        <w:r w:rsidR="00AB594A" w:rsidRPr="00D675EB">
          <w:rPr>
            <w:rStyle w:val="Lienhypertexte"/>
            <w:i/>
            <w:iCs/>
          </w:rPr>
          <w:t xml:space="preserve"> Soro Et 19 Autres c. République de Côte </w:t>
        </w:r>
        <w:r w:rsidR="00AB594A" w:rsidRPr="00D675EB">
          <w:rPr>
            <w:rStyle w:val="Lienhypertexte"/>
          </w:rPr>
          <w:t xml:space="preserve">d’Ivoire, 26 </w:t>
        </w:r>
        <w:r w:rsidR="0015386C" w:rsidRPr="00D675EB">
          <w:rPr>
            <w:rStyle w:val="Lienhypertexte"/>
          </w:rPr>
          <w:t>j</w:t>
        </w:r>
        <w:r w:rsidR="00AB594A" w:rsidRPr="00D675EB">
          <w:rPr>
            <w:rStyle w:val="Lienhypertexte"/>
          </w:rPr>
          <w:t xml:space="preserve">uin 2025, </w:t>
        </w:r>
        <w:r w:rsidR="0015386C" w:rsidRPr="00D675EB">
          <w:rPr>
            <w:rStyle w:val="Lienhypertexte"/>
          </w:rPr>
          <w:t>c</w:t>
        </w:r>
        <w:r w:rsidR="00AB594A" w:rsidRPr="00D675EB">
          <w:rPr>
            <w:rStyle w:val="Lienhypertexte"/>
          </w:rPr>
          <w:t xml:space="preserve">ompétence et </w:t>
        </w:r>
        <w:r w:rsidR="0015386C" w:rsidRPr="00D675EB">
          <w:rPr>
            <w:rStyle w:val="Lienhypertexte"/>
          </w:rPr>
          <w:t>r</w:t>
        </w:r>
        <w:r w:rsidR="00AB594A" w:rsidRPr="00D675EB">
          <w:rPr>
            <w:rStyle w:val="Lienhypertexte"/>
          </w:rPr>
          <w:t>ecevabilité</w:t>
        </w:r>
        <w:r w:rsidR="0015386C" w:rsidRPr="00D675EB">
          <w:rPr>
            <w:rStyle w:val="Lienhypertexte"/>
          </w:rPr>
          <w:t xml:space="preserve">, </w:t>
        </w:r>
        <w:r w:rsidR="0015386C" w:rsidRPr="00D675EB">
          <w:rPr>
            <w:rStyle w:val="Lienhypertexte"/>
          </w:rPr>
          <w:t>requête 012/2020</w:t>
        </w:r>
      </w:hyperlink>
    </w:p>
    <w:p w14:paraId="16FA4839" w14:textId="0F100F12" w:rsidR="00AB594A" w:rsidRDefault="00023C6B" w:rsidP="00B75ACF">
      <w:pPr>
        <w:spacing w:line="240" w:lineRule="auto"/>
      </w:pPr>
      <w:r>
        <w:t xml:space="preserve">Les requérants, tous de nationalité ivoirienne, sauf deux de nationalité respectivement canadienne et américaine, </w:t>
      </w:r>
      <w:r w:rsidRPr="00023C6B">
        <w:t>allèguent des violations de droits de l’</w:t>
      </w:r>
      <w:r w:rsidR="00BC6A67">
        <w:t>H</w:t>
      </w:r>
      <w:r w:rsidRPr="00023C6B">
        <w:t>omme, du fait des procédures pénales engagées à leur encontre à l’occasion des élections</w:t>
      </w:r>
      <w:r>
        <w:t xml:space="preserve"> ivoiriennes</w:t>
      </w:r>
      <w:r w:rsidRPr="00023C6B">
        <w:t xml:space="preserve"> de 2020.</w:t>
      </w:r>
    </w:p>
    <w:p w14:paraId="3AADA6B9" w14:textId="761EEB4B" w:rsidR="00023C6B" w:rsidRDefault="00023C6B" w:rsidP="00B75ACF">
      <w:pPr>
        <w:spacing w:line="240" w:lineRule="auto"/>
      </w:pPr>
      <w:r>
        <w:t>La Cour a déclaré la requête irrecevable pour défaut d’épuisement des voies de recours interne</w:t>
      </w:r>
      <w:r w:rsidR="00BC6A67">
        <w:t>s</w:t>
      </w:r>
      <w:r w:rsidR="0042796E">
        <w:t>, affirmant qu’il n’y avait pas lieu de considérer les recours judiciaires ivoiriens comme indisponibles</w:t>
      </w:r>
      <w:r w:rsidR="00140530">
        <w:t>,</w:t>
      </w:r>
      <w:r w:rsidR="0042796E">
        <w:t xml:space="preserve"> inefficaces ou insuffisants à l’égard des requérants. </w:t>
      </w:r>
    </w:p>
    <w:p w14:paraId="10E6AA7F" w14:textId="77777777" w:rsidR="00B75ACF" w:rsidRDefault="00B75ACF" w:rsidP="00B75ACF">
      <w:pPr>
        <w:spacing w:line="240" w:lineRule="auto"/>
      </w:pPr>
    </w:p>
    <w:p w14:paraId="7AFC8136" w14:textId="149C79B5" w:rsidR="00AB594A" w:rsidRPr="00554AD3" w:rsidRDefault="00D675EB" w:rsidP="00B75ACF">
      <w:pPr>
        <w:spacing w:line="240" w:lineRule="auto"/>
        <w:rPr>
          <w:u w:val="single"/>
        </w:rPr>
      </w:pPr>
      <w:hyperlink r:id="rId11" w:history="1">
        <w:r w:rsidR="0015386C" w:rsidRPr="00D675EB">
          <w:rPr>
            <w:rStyle w:val="Lienhypertexte"/>
          </w:rPr>
          <w:t>Arrêt</w:t>
        </w:r>
        <w:r w:rsidR="00AB594A" w:rsidRPr="00D675EB">
          <w:rPr>
            <w:rStyle w:val="Lienhypertexte"/>
          </w:rPr>
          <w:t xml:space="preserve">, </w:t>
        </w:r>
        <w:r w:rsidR="00AB594A" w:rsidRPr="00D675EB">
          <w:rPr>
            <w:rStyle w:val="Lienhypertexte"/>
            <w:i/>
            <w:iCs/>
          </w:rPr>
          <w:t>XYZ c. République du Bénin</w:t>
        </w:r>
        <w:r w:rsidR="00AB594A" w:rsidRPr="00D675EB">
          <w:rPr>
            <w:rStyle w:val="Lienhypertexte"/>
          </w:rPr>
          <w:t xml:space="preserve">, 26 </w:t>
        </w:r>
        <w:r w:rsidR="0015386C" w:rsidRPr="00D675EB">
          <w:rPr>
            <w:rStyle w:val="Lienhypertexte"/>
          </w:rPr>
          <w:t>j</w:t>
        </w:r>
        <w:r w:rsidR="00AB594A" w:rsidRPr="00D675EB">
          <w:rPr>
            <w:rStyle w:val="Lienhypertexte"/>
          </w:rPr>
          <w:t xml:space="preserve">uin 2025, </w:t>
        </w:r>
        <w:r w:rsidR="0015386C" w:rsidRPr="00D675EB">
          <w:rPr>
            <w:rStyle w:val="Lienhypertexte"/>
          </w:rPr>
          <w:t>c</w:t>
        </w:r>
        <w:r w:rsidR="00AB594A" w:rsidRPr="00D675EB">
          <w:rPr>
            <w:rStyle w:val="Lienhypertexte"/>
          </w:rPr>
          <w:t xml:space="preserve">ompétence et </w:t>
        </w:r>
        <w:r w:rsidR="0015386C" w:rsidRPr="00D675EB">
          <w:rPr>
            <w:rStyle w:val="Lienhypertexte"/>
          </w:rPr>
          <w:t>r</w:t>
        </w:r>
        <w:r w:rsidR="00AB594A" w:rsidRPr="00D675EB">
          <w:rPr>
            <w:rStyle w:val="Lienhypertexte"/>
          </w:rPr>
          <w:t>ecevabilité</w:t>
        </w:r>
        <w:r w:rsidR="0015386C" w:rsidRPr="00D675EB">
          <w:rPr>
            <w:rStyle w:val="Lienhypertexte"/>
          </w:rPr>
          <w:t>, r</w:t>
        </w:r>
        <w:r w:rsidR="0015386C" w:rsidRPr="00D675EB">
          <w:rPr>
            <w:rStyle w:val="Lienhypertexte"/>
          </w:rPr>
          <w:t>equête 058/2019</w:t>
        </w:r>
      </w:hyperlink>
    </w:p>
    <w:p w14:paraId="24422F63" w14:textId="7B8893F1" w:rsidR="00AB594A" w:rsidRDefault="00D74F7A" w:rsidP="00B75ACF">
      <w:pPr>
        <w:spacing w:line="240" w:lineRule="auto"/>
      </w:pPr>
      <w:r>
        <w:t xml:space="preserve">Le requérant est un ressortissant béninois ayant requis l’anonymat et alléguant de la violation d’un grand nombre de dispositions de la Charte. </w:t>
      </w:r>
    </w:p>
    <w:p w14:paraId="50C23B1B" w14:textId="7160C9E4" w:rsidR="00E912F7" w:rsidRDefault="00D74F7A" w:rsidP="00B75ACF">
      <w:pPr>
        <w:spacing w:line="240" w:lineRule="auto"/>
      </w:pPr>
      <w:r>
        <w:t>Cependant, la Cour rappelant notamment la nécessité que l’épuisement des voies de recours internes soit bien antérieur au dépôt de la requête</w:t>
      </w:r>
      <w:r w:rsidR="00E912F7">
        <w:t xml:space="preserve"> (v.</w:t>
      </w:r>
      <w:r w:rsidR="00E912F7" w:rsidRPr="00E912F7">
        <w:t xml:space="preserve"> </w:t>
      </w:r>
      <w:r w:rsidR="00E912F7" w:rsidRPr="00E912F7">
        <w:rPr>
          <w:i/>
          <w:iCs/>
        </w:rPr>
        <w:t xml:space="preserve">Sébastien Germain Marie </w:t>
      </w:r>
      <w:proofErr w:type="spellStart"/>
      <w:r w:rsidR="00E912F7" w:rsidRPr="00E912F7">
        <w:rPr>
          <w:i/>
          <w:iCs/>
        </w:rPr>
        <w:t>Aikoue</w:t>
      </w:r>
      <w:proofErr w:type="spellEnd"/>
      <w:r w:rsidR="00E912F7" w:rsidRPr="00E912F7">
        <w:rPr>
          <w:i/>
          <w:iCs/>
        </w:rPr>
        <w:t xml:space="preserve"> c. République du Bénin</w:t>
      </w:r>
      <w:r w:rsidR="00E912F7" w:rsidRPr="00E912F7">
        <w:t>)</w:t>
      </w:r>
      <w:r>
        <w:t>, l’a considéré</w:t>
      </w:r>
      <w:r w:rsidR="00BC6A67">
        <w:t>e</w:t>
      </w:r>
      <w:r>
        <w:t xml:space="preserve"> comme irrecevable</w:t>
      </w:r>
      <w:r w:rsidR="00E912F7">
        <w:t xml:space="preserve"> (§38).</w:t>
      </w:r>
    </w:p>
    <w:p w14:paraId="1EAE75C9" w14:textId="77777777" w:rsidR="006D6F54" w:rsidRDefault="006D6F54" w:rsidP="00B75ACF">
      <w:pPr>
        <w:spacing w:line="240" w:lineRule="auto"/>
      </w:pPr>
    </w:p>
    <w:p w14:paraId="43F5EEE6" w14:textId="5813F950" w:rsidR="00AB594A" w:rsidRPr="006D6F54" w:rsidRDefault="00D675EB" w:rsidP="00B75ACF">
      <w:pPr>
        <w:spacing w:line="240" w:lineRule="auto"/>
        <w:rPr>
          <w:u w:val="single"/>
        </w:rPr>
      </w:pPr>
      <w:hyperlink r:id="rId12" w:history="1">
        <w:r w:rsidR="0015386C" w:rsidRPr="00D675EB">
          <w:rPr>
            <w:rStyle w:val="Lienhypertexte"/>
          </w:rPr>
          <w:t>Arrêt</w:t>
        </w:r>
        <w:r w:rsidR="00AB594A" w:rsidRPr="00D675EB">
          <w:rPr>
            <w:rStyle w:val="Lienhypertexte"/>
          </w:rPr>
          <w:t xml:space="preserve">, </w:t>
        </w:r>
        <w:r w:rsidR="00AB594A" w:rsidRPr="00D675EB">
          <w:rPr>
            <w:rStyle w:val="Lienhypertexte"/>
            <w:i/>
            <w:iCs/>
          </w:rPr>
          <w:t>XYZ c. République du Bénin</w:t>
        </w:r>
        <w:r w:rsidR="00AB594A" w:rsidRPr="00D675EB">
          <w:rPr>
            <w:rStyle w:val="Lienhypertexte"/>
          </w:rPr>
          <w:t xml:space="preserve">, 26 </w:t>
        </w:r>
        <w:r w:rsidR="0015386C" w:rsidRPr="00D675EB">
          <w:rPr>
            <w:rStyle w:val="Lienhypertexte"/>
          </w:rPr>
          <w:t>j</w:t>
        </w:r>
        <w:r w:rsidR="00AB594A" w:rsidRPr="00D675EB">
          <w:rPr>
            <w:rStyle w:val="Lienhypertexte"/>
          </w:rPr>
          <w:t xml:space="preserve">uin 2025, </w:t>
        </w:r>
        <w:r w:rsidR="0015386C" w:rsidRPr="00D675EB">
          <w:rPr>
            <w:rStyle w:val="Lienhypertexte"/>
          </w:rPr>
          <w:t>c</w:t>
        </w:r>
        <w:r w:rsidR="00AB594A" w:rsidRPr="00D675EB">
          <w:rPr>
            <w:rStyle w:val="Lienhypertexte"/>
          </w:rPr>
          <w:t xml:space="preserve">ompétence et </w:t>
        </w:r>
        <w:r w:rsidR="0015386C" w:rsidRPr="00D675EB">
          <w:rPr>
            <w:rStyle w:val="Lienhypertexte"/>
          </w:rPr>
          <w:t>r</w:t>
        </w:r>
        <w:r w:rsidR="00AB594A" w:rsidRPr="00D675EB">
          <w:rPr>
            <w:rStyle w:val="Lienhypertexte"/>
          </w:rPr>
          <w:t>ecevabilité</w:t>
        </w:r>
        <w:r w:rsidR="0015386C" w:rsidRPr="00D675EB">
          <w:rPr>
            <w:rStyle w:val="Lienhypertexte"/>
          </w:rPr>
          <w:t>, r</w:t>
        </w:r>
        <w:r w:rsidR="0015386C" w:rsidRPr="00D675EB">
          <w:rPr>
            <w:rStyle w:val="Lienhypertexte"/>
          </w:rPr>
          <w:t>equête 009/2020</w:t>
        </w:r>
      </w:hyperlink>
    </w:p>
    <w:p w14:paraId="5B6B2721" w14:textId="77777777" w:rsidR="00F46747" w:rsidRDefault="00F46747" w:rsidP="00B75ACF">
      <w:pPr>
        <w:spacing w:line="240" w:lineRule="auto"/>
      </w:pPr>
      <w:r>
        <w:t xml:space="preserve">Le requérant est un ressortissant béninois ayant requis l’anonymat et alléguant de la violation d’un grand nombre de dispositions de la Charte. </w:t>
      </w:r>
    </w:p>
    <w:p w14:paraId="562D1B46" w14:textId="367914C9" w:rsidR="00F46747" w:rsidRDefault="00F46747" w:rsidP="00B75ACF">
      <w:pPr>
        <w:spacing w:line="240" w:lineRule="auto"/>
      </w:pPr>
      <w:r>
        <w:t>La Cour a déclaré la requête irrecevable. Si cette irrecevabilité est caractérisée par la Cour du fait du défaut d’épuisement des voies de recours internes (§</w:t>
      </w:r>
      <w:r w:rsidR="002C0B07">
        <w:t>82</w:t>
      </w:r>
      <w:r>
        <w:t>), elle n’a en revanche pas accueilli le motif de défaut d’intérêt à agir soulevé par l’État défendeur et a rappelé que les dispositions du Protocole de Ouagadougou n’impose</w:t>
      </w:r>
      <w:r w:rsidR="002C0B07">
        <w:t>nt</w:t>
      </w:r>
      <w:r>
        <w:t xml:space="preserve"> pas au requérant de démontrer un intérêt personnel. (§56).</w:t>
      </w:r>
    </w:p>
    <w:p w14:paraId="055650EC" w14:textId="77777777" w:rsidR="00F46747" w:rsidRDefault="00F46747" w:rsidP="00B75ACF">
      <w:pPr>
        <w:spacing w:line="240" w:lineRule="auto"/>
      </w:pPr>
    </w:p>
    <w:p w14:paraId="4CDAD82D" w14:textId="2B8625FF" w:rsidR="00AB594A" w:rsidRPr="006E6DE0" w:rsidRDefault="00D675EB" w:rsidP="00B75ACF">
      <w:pPr>
        <w:spacing w:line="240" w:lineRule="auto"/>
        <w:rPr>
          <w:u w:val="single"/>
        </w:rPr>
      </w:pPr>
      <w:hyperlink r:id="rId13" w:history="1">
        <w:r w:rsidR="0015386C" w:rsidRPr="00D675EB">
          <w:rPr>
            <w:rStyle w:val="Lienhypertexte"/>
          </w:rPr>
          <w:t>Arrêt</w:t>
        </w:r>
        <w:r w:rsidR="00AB594A" w:rsidRPr="00D675EB">
          <w:rPr>
            <w:rStyle w:val="Lienhypertexte"/>
          </w:rPr>
          <w:t xml:space="preserve">, </w:t>
        </w:r>
        <w:r w:rsidR="00AB594A" w:rsidRPr="00D675EB">
          <w:rPr>
            <w:rStyle w:val="Lienhypertexte"/>
            <w:i/>
            <w:iCs/>
          </w:rPr>
          <w:t>République démocratique du Congo c. République du Rwanda</w:t>
        </w:r>
        <w:r w:rsidR="00AB594A" w:rsidRPr="00D675EB">
          <w:rPr>
            <w:rStyle w:val="Lienhypertexte"/>
          </w:rPr>
          <w:t xml:space="preserve">, 26 </w:t>
        </w:r>
        <w:r w:rsidR="0015386C" w:rsidRPr="00D675EB">
          <w:rPr>
            <w:rStyle w:val="Lienhypertexte"/>
          </w:rPr>
          <w:t>juin</w:t>
        </w:r>
        <w:r w:rsidR="00AB594A" w:rsidRPr="00D675EB">
          <w:rPr>
            <w:rStyle w:val="Lienhypertexte"/>
          </w:rPr>
          <w:t xml:space="preserve"> 2025, </w:t>
        </w:r>
        <w:r w:rsidR="0015386C" w:rsidRPr="00D675EB">
          <w:rPr>
            <w:rStyle w:val="Lienhypertexte"/>
          </w:rPr>
          <w:t>c</w:t>
        </w:r>
        <w:r w:rsidR="00AB594A" w:rsidRPr="00D675EB">
          <w:rPr>
            <w:rStyle w:val="Lienhypertexte"/>
          </w:rPr>
          <w:t xml:space="preserve">ompétence et </w:t>
        </w:r>
        <w:r w:rsidR="0015386C" w:rsidRPr="00D675EB">
          <w:rPr>
            <w:rStyle w:val="Lienhypertexte"/>
          </w:rPr>
          <w:t>r</w:t>
        </w:r>
        <w:r w:rsidR="00AB594A" w:rsidRPr="00D675EB">
          <w:rPr>
            <w:rStyle w:val="Lienhypertexte"/>
          </w:rPr>
          <w:t>ecevabilité</w:t>
        </w:r>
        <w:r w:rsidR="0015386C" w:rsidRPr="00D675EB">
          <w:rPr>
            <w:rStyle w:val="Lienhypertexte"/>
          </w:rPr>
          <w:t>, r</w:t>
        </w:r>
        <w:r w:rsidR="0015386C" w:rsidRPr="00D675EB">
          <w:rPr>
            <w:rStyle w:val="Lienhypertexte"/>
          </w:rPr>
          <w:t>equête 007/2023</w:t>
        </w:r>
      </w:hyperlink>
    </w:p>
    <w:p w14:paraId="592F7583" w14:textId="75CBCCD7" w:rsidR="00AB594A" w:rsidRDefault="006E6DE0" w:rsidP="00B75ACF">
      <w:pPr>
        <w:spacing w:line="240" w:lineRule="auto"/>
      </w:pPr>
      <w:r>
        <w:t xml:space="preserve">La requête a été introduite par la République démocratique du Congo (RDC), contre la République </w:t>
      </w:r>
      <w:r w:rsidR="00140530">
        <w:t xml:space="preserve">du </w:t>
      </w:r>
      <w:r>
        <w:t xml:space="preserve">Rwanda concernant la participation de cette dernière à une guerre d’agression menée sur le territoire de la RDC et contre celle-ci, </w:t>
      </w:r>
      <w:r w:rsidR="00E94D18">
        <w:t>aux côtés</w:t>
      </w:r>
      <w:r>
        <w:t xml:space="preserve"> de groupes armés non étatiques</w:t>
      </w:r>
      <w:r w:rsidR="00206405">
        <w:t>,</w:t>
      </w:r>
      <w:r>
        <w:t xml:space="preserve"> notamment le M23.</w:t>
      </w:r>
      <w:r w:rsidR="00E94D18">
        <w:t xml:space="preserve"> La RDC allègue ainsi de la violation de nombreuses dispositions issues de plusieurs instruments</w:t>
      </w:r>
      <w:r w:rsidR="00206405">
        <w:t>,</w:t>
      </w:r>
      <w:r w:rsidR="00E94D18">
        <w:t xml:space="preserve"> notamment la CADHP, le Protocole de Maputo, le PIDCP, la CABDE, la Déclaration de Prétoria</w:t>
      </w:r>
      <w:r w:rsidR="00140530">
        <w:t xml:space="preserve">, </w:t>
      </w:r>
      <w:r w:rsidR="00E94D18">
        <w:t>le PIDESC</w:t>
      </w:r>
      <w:r w:rsidR="00140530">
        <w:t xml:space="preserve"> ou encore du Pacte des Grands Lacs</w:t>
      </w:r>
      <w:r w:rsidR="00E94D18">
        <w:t xml:space="preserve">. </w:t>
      </w:r>
    </w:p>
    <w:p w14:paraId="7F4163A3" w14:textId="6B15482F" w:rsidR="00E94D18" w:rsidRDefault="00E94D18" w:rsidP="00B75ACF">
      <w:pPr>
        <w:spacing w:line="240" w:lineRule="auto"/>
      </w:pPr>
      <w:r>
        <w:t>Cette décision ne concerne ainsi que les questions relatives à la compétence et à la recevabilité.</w:t>
      </w:r>
    </w:p>
    <w:p w14:paraId="5AD3DAA0" w14:textId="6C17F319" w:rsidR="006E6DE0" w:rsidRDefault="00B96663" w:rsidP="00B75ACF">
      <w:pPr>
        <w:spacing w:line="240" w:lineRule="auto"/>
      </w:pPr>
      <w:r>
        <w:t>L</w:t>
      </w:r>
      <w:r w:rsidR="00BC6A67">
        <w:t>e</w:t>
      </w:r>
      <w:r>
        <w:t xml:space="preserve"> Rwanda a soulevé de nombreuses exceptions d’incompétence. Ainsi</w:t>
      </w:r>
      <w:r w:rsidR="00206405">
        <w:t xml:space="preserve">, </w:t>
      </w:r>
      <w:r>
        <w:t>la Cour a considéré que sa compétence n’était pas assujettie « </w:t>
      </w:r>
      <w:r w:rsidRPr="00B96663">
        <w:t>à la production de la preuve de l’existence préalable d’un différend avant le dépôt de la Requête.</w:t>
      </w:r>
      <w:r>
        <w:t> » (§77). Les allégations de violations de droits protégés dans la Charte ou dans tout autre instrument relatif aux droits de l’Homme auxquels l’État attaqué est partie suffisent.</w:t>
      </w:r>
    </w:p>
    <w:p w14:paraId="3EB54C2A" w14:textId="4150C26D" w:rsidR="00B96663" w:rsidRDefault="00B96663" w:rsidP="00B75ACF">
      <w:pPr>
        <w:spacing w:line="240" w:lineRule="auto"/>
      </w:pPr>
      <w:r>
        <w:lastRenderedPageBreak/>
        <w:t>S’agiss</w:t>
      </w:r>
      <w:r w:rsidR="00A3342E">
        <w:t>a</w:t>
      </w:r>
      <w:r>
        <w:t>nt de l’exception soulevée par l’État défendeur selon l</w:t>
      </w:r>
      <w:r w:rsidR="00206405">
        <w:t>a</w:t>
      </w:r>
      <w:r>
        <w:t>quel</w:t>
      </w:r>
      <w:r w:rsidR="00206405">
        <w:t>le</w:t>
      </w:r>
      <w:r>
        <w:t xml:space="preserve"> </w:t>
      </w:r>
      <w:r w:rsidR="00050A6D">
        <w:t>les traités invoqués ne sont pas des traités relatifs aux droits de l’Homme, la Cour a rappelé que la qualification de traité</w:t>
      </w:r>
      <w:r w:rsidR="00206405">
        <w:t xml:space="preserve"> relatif aux</w:t>
      </w:r>
      <w:r w:rsidR="00050A6D">
        <w:t xml:space="preserve"> droits de l’Homme n’</w:t>
      </w:r>
      <w:r w:rsidR="00206405">
        <w:t>est</w:t>
      </w:r>
      <w:r w:rsidR="00050A6D">
        <w:t xml:space="preserve"> intéressante que dans le cas où les droits invoqués ne seraient </w:t>
      </w:r>
      <w:r w:rsidR="00C7009D">
        <w:t>protégés</w:t>
      </w:r>
      <w:r w:rsidR="00050A6D">
        <w:t xml:space="preserve"> que par le traité concerné (§101). Or, dans la mesure o</w:t>
      </w:r>
      <w:r w:rsidR="00A52173">
        <w:t>ù</w:t>
      </w:r>
      <w:r w:rsidR="00050A6D">
        <w:t xml:space="preserve"> les droits invoqués sont protégés par de multiples traités (v. §105), et que rien n’impose au requérant d’indiquer formellement « </w:t>
      </w:r>
      <w:r w:rsidR="00050A6D" w:rsidRPr="00050A6D">
        <w:t>l’instrument qui contient la disposition protégeant le droit dont la violation est alléguée</w:t>
      </w:r>
      <w:r w:rsidR="00050A6D">
        <w:t xml:space="preserve"> » (§103), La Cour est compétente. S’intéressant néanmoins aux différents instruments évoqués par la RDC, la Cour </w:t>
      </w:r>
      <w:r w:rsidR="00A52173">
        <w:t>a</w:t>
      </w:r>
      <w:r w:rsidR="00050A6D">
        <w:t xml:space="preserve"> </w:t>
      </w:r>
      <w:r w:rsidR="00C7009D">
        <w:t>considér</w:t>
      </w:r>
      <w:r w:rsidR="00206405">
        <w:t>é</w:t>
      </w:r>
      <w:r w:rsidR="00050A6D">
        <w:t xml:space="preserve"> que la Déclaration de Pretoria</w:t>
      </w:r>
      <w:r w:rsidR="00C7009D">
        <w:t xml:space="preserve">, l’Accord Cadre de Addis Abeba, La Charte des Nations-Unies et l’Acte constitutif de l’UA n’entrent pas dans son champ de compétence (§109-112). En revanche, les articles 5, 8, 12 et 13 du </w:t>
      </w:r>
      <w:r w:rsidR="00C7009D" w:rsidRPr="00C7009D">
        <w:t>Pacte des Grands Lacs</w:t>
      </w:r>
      <w:r w:rsidR="00C7009D">
        <w:t xml:space="preserve"> sont considérés comme des dispositions de protection des droits de l’Homme.</w:t>
      </w:r>
    </w:p>
    <w:p w14:paraId="15CE48B9" w14:textId="6CF57AA5" w:rsidR="002D7FCD" w:rsidRPr="002D7FCD" w:rsidRDefault="00A3342E" w:rsidP="00B75ACF">
      <w:pPr>
        <w:spacing w:line="240" w:lineRule="auto"/>
      </w:pPr>
      <w:r>
        <w:t xml:space="preserve">S’agissant de l’exception soulevée en lien avec l’incompétence territoriale de la Cour, celle-ci mentionnant son arrêt </w:t>
      </w:r>
      <w:r w:rsidR="002D7FCD" w:rsidRPr="002D7FCD">
        <w:rPr>
          <w:i/>
          <w:iCs/>
        </w:rPr>
        <w:t xml:space="preserve">Bernard </w:t>
      </w:r>
      <w:proofErr w:type="spellStart"/>
      <w:r w:rsidR="002D7FCD" w:rsidRPr="002D7FCD">
        <w:rPr>
          <w:i/>
          <w:iCs/>
        </w:rPr>
        <w:t>Anbataayela</w:t>
      </w:r>
      <w:proofErr w:type="spellEnd"/>
      <w:r w:rsidR="002D7FCD" w:rsidRPr="002D7FCD">
        <w:rPr>
          <w:i/>
          <w:iCs/>
        </w:rPr>
        <w:t xml:space="preserve"> </w:t>
      </w:r>
      <w:proofErr w:type="spellStart"/>
      <w:r w:rsidR="002D7FCD" w:rsidRPr="002D7FCD">
        <w:rPr>
          <w:i/>
          <w:iCs/>
        </w:rPr>
        <w:t>Mornah</w:t>
      </w:r>
      <w:proofErr w:type="spellEnd"/>
      <w:r w:rsidR="002D7FCD" w:rsidRPr="002D7FCD">
        <w:rPr>
          <w:i/>
          <w:iCs/>
        </w:rPr>
        <w:t xml:space="preserve"> c. République du Bénin et autres</w:t>
      </w:r>
      <w:r w:rsidR="002D7FCD" w:rsidRPr="002D7FCD">
        <w:t xml:space="preserve">, </w:t>
      </w:r>
      <w:r w:rsidR="002D7FCD">
        <w:t xml:space="preserve">rappelle </w:t>
      </w:r>
      <w:r w:rsidR="00797D15">
        <w:t xml:space="preserve">que </w:t>
      </w:r>
      <w:r w:rsidR="002D7FCD">
        <w:t>ni</w:t>
      </w:r>
      <w:r w:rsidR="002D7FCD" w:rsidRPr="002D7FCD">
        <w:t xml:space="preserve"> la Charte</w:t>
      </w:r>
      <w:r w:rsidR="002D7FCD">
        <w:t xml:space="preserve"> ni le Protocole</w:t>
      </w:r>
      <w:r w:rsidR="002D7FCD" w:rsidRPr="002D7FCD">
        <w:t xml:space="preserve"> ne précise</w:t>
      </w:r>
      <w:r w:rsidR="002D7FCD">
        <w:t>nt</w:t>
      </w:r>
      <w:r w:rsidR="002D7FCD" w:rsidRPr="002D7FCD">
        <w:t xml:space="preserve"> aucun ressort</w:t>
      </w:r>
      <w:r w:rsidR="002D7FCD">
        <w:t xml:space="preserve"> (§154). S’inspirant de plusieurs décisions de la CIJ (v. notamment : CIJ (arrêt), </w:t>
      </w:r>
      <w:r w:rsidR="002D7FCD" w:rsidRPr="002D7FCD">
        <w:rPr>
          <w:i/>
          <w:iCs/>
        </w:rPr>
        <w:t xml:space="preserve">Affaire des </w:t>
      </w:r>
      <w:proofErr w:type="spellStart"/>
      <w:r w:rsidR="002D7FCD" w:rsidRPr="002D7FCD">
        <w:rPr>
          <w:i/>
          <w:iCs/>
        </w:rPr>
        <w:t>activités</w:t>
      </w:r>
      <w:proofErr w:type="spellEnd"/>
      <w:r w:rsidR="002D7FCD" w:rsidRPr="002D7FCD">
        <w:rPr>
          <w:i/>
          <w:iCs/>
        </w:rPr>
        <w:t xml:space="preserve"> </w:t>
      </w:r>
      <w:proofErr w:type="spellStart"/>
      <w:r w:rsidR="002D7FCD" w:rsidRPr="002D7FCD">
        <w:rPr>
          <w:i/>
          <w:iCs/>
        </w:rPr>
        <w:t>armées</w:t>
      </w:r>
      <w:proofErr w:type="spellEnd"/>
      <w:r w:rsidR="002D7FCD" w:rsidRPr="002D7FCD">
        <w:rPr>
          <w:i/>
          <w:iCs/>
        </w:rPr>
        <w:t xml:space="preserve"> sur le territoire du Congo </w:t>
      </w:r>
      <w:proofErr w:type="spellStart"/>
      <w:r w:rsidR="002D7FCD" w:rsidRPr="002D7FCD">
        <w:rPr>
          <w:i/>
          <w:iCs/>
        </w:rPr>
        <w:t>République</w:t>
      </w:r>
      <w:proofErr w:type="spellEnd"/>
      <w:r w:rsidR="002D7FCD" w:rsidRPr="002D7FCD">
        <w:rPr>
          <w:i/>
          <w:iCs/>
        </w:rPr>
        <w:t xml:space="preserve"> </w:t>
      </w:r>
      <w:proofErr w:type="spellStart"/>
      <w:r w:rsidR="002D7FCD" w:rsidRPr="002D7FCD">
        <w:rPr>
          <w:i/>
          <w:iCs/>
        </w:rPr>
        <w:t>démocratique</w:t>
      </w:r>
      <w:proofErr w:type="spellEnd"/>
      <w:r w:rsidR="002D7FCD" w:rsidRPr="002D7FCD">
        <w:rPr>
          <w:i/>
          <w:iCs/>
        </w:rPr>
        <w:t xml:space="preserve"> du Congo c. Ouganda</w:t>
      </w:r>
      <w:r w:rsidR="002D7FCD">
        <w:rPr>
          <w:i/>
          <w:iCs/>
        </w:rPr>
        <w:t> </w:t>
      </w:r>
      <w:r w:rsidR="002D7FCD">
        <w:t xml:space="preserve">; CIJ (avis consultatif), </w:t>
      </w:r>
      <w:proofErr w:type="spellStart"/>
      <w:r w:rsidR="002D7FCD" w:rsidRPr="002D7FCD">
        <w:rPr>
          <w:i/>
          <w:iCs/>
        </w:rPr>
        <w:t>Conséquences</w:t>
      </w:r>
      <w:proofErr w:type="spellEnd"/>
      <w:r w:rsidR="002D7FCD" w:rsidRPr="002D7FCD">
        <w:rPr>
          <w:i/>
          <w:iCs/>
        </w:rPr>
        <w:t xml:space="preserve"> juridiques </w:t>
      </w:r>
      <w:proofErr w:type="spellStart"/>
      <w:r w:rsidR="002D7FCD" w:rsidRPr="002D7FCD">
        <w:rPr>
          <w:i/>
          <w:iCs/>
        </w:rPr>
        <w:t>découlant</w:t>
      </w:r>
      <w:proofErr w:type="spellEnd"/>
      <w:r w:rsidR="002D7FCD" w:rsidRPr="002D7FCD">
        <w:rPr>
          <w:i/>
          <w:iCs/>
        </w:rPr>
        <w:t xml:space="preserve"> des politiques et pratiques d’</w:t>
      </w:r>
      <w:proofErr w:type="spellStart"/>
      <w:r w:rsidR="002D7FCD" w:rsidRPr="002D7FCD">
        <w:rPr>
          <w:i/>
          <w:iCs/>
        </w:rPr>
        <w:t>Israël</w:t>
      </w:r>
      <w:proofErr w:type="spellEnd"/>
      <w:r w:rsidR="002D7FCD" w:rsidRPr="002D7FCD">
        <w:rPr>
          <w:i/>
          <w:iCs/>
        </w:rPr>
        <w:t xml:space="preserve"> dans le territoire palestinien occupé, y compris </w:t>
      </w:r>
      <w:proofErr w:type="spellStart"/>
      <w:r w:rsidR="002D7FCD" w:rsidRPr="002D7FCD">
        <w:rPr>
          <w:i/>
          <w:iCs/>
        </w:rPr>
        <w:t>Jérusalem-Est</w:t>
      </w:r>
      <w:proofErr w:type="spellEnd"/>
      <w:r w:rsidR="002D7FCD">
        <w:t>) la Cour affirme que devant elle</w:t>
      </w:r>
      <w:r w:rsidR="0027562B">
        <w:t>,</w:t>
      </w:r>
      <w:r w:rsidR="002D7FCD">
        <w:t xml:space="preserve"> le comportement de tout organe d’un État doit être regardé comme le fait de cet État et lui être imputable même si</w:t>
      </w:r>
      <w:r w:rsidR="00797D15">
        <w:t xml:space="preserve"> celui-ci a lieu en dehors de son territoire. Appréciant ainsi la nature du conflit ayant lieu dans le Kivu</w:t>
      </w:r>
      <w:r w:rsidR="007E1028">
        <w:t>,</w:t>
      </w:r>
      <w:r w:rsidR="00797D15">
        <w:t xml:space="preserve"> </w:t>
      </w:r>
      <w:r w:rsidR="0027562B">
        <w:t>la Cour</w:t>
      </w:r>
      <w:r w:rsidR="00797D15">
        <w:t xml:space="preserve"> </w:t>
      </w:r>
      <w:r w:rsidR="0027562B">
        <w:t>l’a qualifié de conflit international et a établi que l’intervention des Force</w:t>
      </w:r>
      <w:r w:rsidR="007E1028">
        <w:t>s</w:t>
      </w:r>
      <w:r w:rsidR="0027562B">
        <w:t xml:space="preserve"> Démocratiques Rwandaise</w:t>
      </w:r>
      <w:r w:rsidR="007E1028">
        <w:t>s</w:t>
      </w:r>
      <w:r w:rsidR="0027562B">
        <w:t xml:space="preserve"> (FDR) aux côtés du M23 a eu un impact sur le déroulement des hostilités (§169). Eu égard </w:t>
      </w:r>
      <w:r w:rsidR="007E1028">
        <w:t>à cela</w:t>
      </w:r>
      <w:r w:rsidR="00A52173">
        <w:t>,</w:t>
      </w:r>
      <w:r w:rsidR="0027562B">
        <w:t xml:space="preserve"> </w:t>
      </w:r>
      <w:r w:rsidR="0027562B" w:rsidRPr="0027562B">
        <w:t>la Cour rejette l’exception d’incompétence territoriale et se déclare compétente sur cet aspect.</w:t>
      </w:r>
      <w:r w:rsidR="0027562B">
        <w:t xml:space="preserve"> </w:t>
      </w:r>
    </w:p>
    <w:p w14:paraId="50AA9E2E" w14:textId="051EC9CA" w:rsidR="006E6DE0" w:rsidRDefault="00133C86" w:rsidP="00B75ACF">
      <w:pPr>
        <w:spacing w:line="240" w:lineRule="auto"/>
      </w:pPr>
      <w:r>
        <w:t>S’agissant de la recevabilité la Cour a relevé que les règles de procédures prévues par un autre instrument que la Charte, le Protocole ou son règlement (en l’espèce le Pacte des Grands lacs) ne la lie pas (§190 ; §203).</w:t>
      </w:r>
      <w:r w:rsidR="00E01A77">
        <w:t xml:space="preserve"> Elle a en outre rappelé « </w:t>
      </w:r>
      <w:r w:rsidR="00E01A77" w:rsidRPr="00E01A77">
        <w:t>que le fait de ne pas divulguer des informations ou d’omettre de déposer des pièces sur les faits matériels pertinents ne peut, non plus, suffire à déclarer une requête abusive.</w:t>
      </w:r>
      <w:r w:rsidR="00E01A77">
        <w:t> » (§237).</w:t>
      </w:r>
    </w:p>
    <w:p w14:paraId="22844DC4" w14:textId="11D64A88" w:rsidR="004B5A7D" w:rsidRDefault="004B5A7D" w:rsidP="00B75ACF">
      <w:pPr>
        <w:spacing w:line="240" w:lineRule="auto"/>
      </w:pPr>
      <w:r>
        <w:t xml:space="preserve">S’agissant de la question plus spécifique de l’épuisement voies des recours internes, </w:t>
      </w:r>
      <w:r w:rsidR="005C328A">
        <w:t>La Cour a considéré que la nature massive et systématique des violations ne rendait pas raisonnable l’exigence d’épuisement des voies de recours internes par les éventuelles victimes devant les juridictions rwandaises (§312). Par ailleurs, la Cour a rappelé que la condition de recevabilité ne concernait que les recours interne</w:t>
      </w:r>
      <w:r w:rsidR="007E1028">
        <w:t>s</w:t>
      </w:r>
      <w:r w:rsidR="005C328A">
        <w:t xml:space="preserve"> et excluait de fait les recours régionaux et internationaux (§337).</w:t>
      </w:r>
    </w:p>
    <w:p w14:paraId="6F40F7E1" w14:textId="36894207" w:rsidR="00C94550" w:rsidRDefault="00C94550" w:rsidP="00B75ACF">
      <w:pPr>
        <w:spacing w:line="240" w:lineRule="auto"/>
      </w:pPr>
      <w:r>
        <w:t>Enfin s’agissant de la condition de recevabilité tiré</w:t>
      </w:r>
      <w:r w:rsidR="00E137A5">
        <w:t>e</w:t>
      </w:r>
      <w:r>
        <w:t xml:space="preserve"> de ce que la requête ne doit pas concerner des cas qui ont</w:t>
      </w:r>
      <w:r w:rsidR="007E1028">
        <w:t xml:space="preserve"> déjà</w:t>
      </w:r>
      <w:r>
        <w:t xml:space="preserve"> été réglés</w:t>
      </w:r>
      <w:r w:rsidR="007E1028">
        <w:t>,</w:t>
      </w:r>
      <w:r>
        <w:t xml:space="preserve"> la Cour rappelle que dans son arrêt dans l’affaire </w:t>
      </w:r>
      <w:r w:rsidRPr="00C94550">
        <w:rPr>
          <w:i/>
          <w:iCs/>
        </w:rPr>
        <w:t>Jean Claude Roger Gombert c. République de Côte d’Ivoire</w:t>
      </w:r>
      <w:r>
        <w:t xml:space="preserve"> elle a déterminé 3 critères pour apprécier </w:t>
      </w:r>
      <w:r w:rsidR="007E1028">
        <w:t>de cette condition à savoir</w:t>
      </w:r>
      <w:r>
        <w:t xml:space="preserve"> « (i) la similitude des parties, (ii) la similitude des demandes, leur caractère additionnel, alternatif ou d’une demande introduite dans une première cause et (iii) l’existence d’une première décision au fond. » (§362). Elle n’a en l’espèce pas</w:t>
      </w:r>
      <w:r w:rsidR="007E1028">
        <w:t xml:space="preserve"> reconnu</w:t>
      </w:r>
      <w:r>
        <w:t xml:space="preserve"> la similitude des demandes (§365).</w:t>
      </w:r>
    </w:p>
    <w:p w14:paraId="04A02182" w14:textId="2812EB45" w:rsidR="00B75ACF" w:rsidRDefault="00B75ACF" w:rsidP="00B75ACF">
      <w:pPr>
        <w:spacing w:line="240" w:lineRule="auto"/>
      </w:pPr>
      <w:r>
        <w:t>La Cour s’est donc déclarée compétente et la requête recevable.</w:t>
      </w:r>
    </w:p>
    <w:p w14:paraId="02A42266" w14:textId="6EFF5964" w:rsidR="00AB594A" w:rsidRPr="00ED0347" w:rsidRDefault="00D675EB" w:rsidP="00B75ACF">
      <w:pPr>
        <w:spacing w:line="240" w:lineRule="auto"/>
        <w:rPr>
          <w:u w:val="single"/>
        </w:rPr>
      </w:pPr>
      <w:hyperlink r:id="rId14" w:history="1">
        <w:r w:rsidR="0015386C" w:rsidRPr="00D675EB">
          <w:rPr>
            <w:rStyle w:val="Lienhypertexte"/>
          </w:rPr>
          <w:t>Arrêt</w:t>
        </w:r>
        <w:r w:rsidR="00AB594A" w:rsidRPr="00D675EB">
          <w:rPr>
            <w:rStyle w:val="Lienhypertexte"/>
          </w:rPr>
          <w:t xml:space="preserve">, </w:t>
        </w:r>
        <w:proofErr w:type="spellStart"/>
        <w:r w:rsidR="00AB594A" w:rsidRPr="00D675EB">
          <w:rPr>
            <w:rStyle w:val="Lienhypertexte"/>
            <w:i/>
            <w:iCs/>
          </w:rPr>
          <w:t>Ajaye</w:t>
        </w:r>
        <w:proofErr w:type="spellEnd"/>
        <w:r w:rsidR="00AB594A" w:rsidRPr="00D675EB">
          <w:rPr>
            <w:rStyle w:val="Lienhypertexte"/>
            <w:i/>
            <w:iCs/>
          </w:rPr>
          <w:t xml:space="preserve"> </w:t>
        </w:r>
        <w:proofErr w:type="spellStart"/>
        <w:r w:rsidR="00AB594A" w:rsidRPr="00D675EB">
          <w:rPr>
            <w:rStyle w:val="Lienhypertexte"/>
            <w:i/>
            <w:iCs/>
          </w:rPr>
          <w:t>Jogoo</w:t>
        </w:r>
        <w:proofErr w:type="spellEnd"/>
        <w:r w:rsidR="00AB594A" w:rsidRPr="00D675EB">
          <w:rPr>
            <w:rStyle w:val="Lienhypertexte"/>
            <w:i/>
            <w:iCs/>
          </w:rPr>
          <w:t xml:space="preserve"> c. République unie de Tanzanie</w:t>
        </w:r>
        <w:r w:rsidR="00AB594A" w:rsidRPr="00D675EB">
          <w:rPr>
            <w:rStyle w:val="Lienhypertexte"/>
          </w:rPr>
          <w:t xml:space="preserve">, 26 </w:t>
        </w:r>
        <w:r w:rsidR="00E137A5" w:rsidRPr="00D675EB">
          <w:rPr>
            <w:rStyle w:val="Lienhypertexte"/>
          </w:rPr>
          <w:t>juin</w:t>
        </w:r>
        <w:r w:rsidR="00AB594A" w:rsidRPr="00D675EB">
          <w:rPr>
            <w:rStyle w:val="Lienhypertexte"/>
          </w:rPr>
          <w:t xml:space="preserve"> 2025, </w:t>
        </w:r>
        <w:r w:rsidR="0015386C" w:rsidRPr="00D675EB">
          <w:rPr>
            <w:rStyle w:val="Lienhypertexte"/>
          </w:rPr>
          <w:t>c</w:t>
        </w:r>
        <w:r w:rsidR="00AB594A" w:rsidRPr="00D675EB">
          <w:rPr>
            <w:rStyle w:val="Lienhypertexte"/>
          </w:rPr>
          <w:t xml:space="preserve">ompétence et </w:t>
        </w:r>
        <w:r w:rsidR="0015386C" w:rsidRPr="00D675EB">
          <w:rPr>
            <w:rStyle w:val="Lienhypertexte"/>
          </w:rPr>
          <w:t>r</w:t>
        </w:r>
        <w:r w:rsidR="00AB594A" w:rsidRPr="00D675EB">
          <w:rPr>
            <w:rStyle w:val="Lienhypertexte"/>
          </w:rPr>
          <w:t>ecevabilité</w:t>
        </w:r>
        <w:r w:rsidR="0015386C" w:rsidRPr="00D675EB">
          <w:rPr>
            <w:rStyle w:val="Lienhypertexte"/>
          </w:rPr>
          <w:t>, r</w:t>
        </w:r>
        <w:r w:rsidR="0015386C" w:rsidRPr="00D675EB">
          <w:rPr>
            <w:rStyle w:val="Lienhypertexte"/>
          </w:rPr>
          <w:t>equête 014/2018</w:t>
        </w:r>
        <w:r w:rsidR="0015386C" w:rsidRPr="00D675EB">
          <w:rPr>
            <w:rStyle w:val="Lienhypertexte"/>
          </w:rPr>
          <w:t>.</w:t>
        </w:r>
      </w:hyperlink>
      <w:r w:rsidR="0015386C">
        <w:rPr>
          <w:u w:val="single"/>
        </w:rPr>
        <w:t xml:space="preserve"> </w:t>
      </w:r>
    </w:p>
    <w:p w14:paraId="1871D927" w14:textId="1DFB96DA" w:rsidR="009575EE" w:rsidRDefault="008C23AB" w:rsidP="00B75ACF">
      <w:pPr>
        <w:spacing w:line="240" w:lineRule="auto"/>
      </w:pPr>
      <w:r>
        <w:t>L</w:t>
      </w:r>
      <w:r w:rsidR="00ED0347" w:rsidRPr="00ED0347">
        <w:t>e</w:t>
      </w:r>
      <w:r>
        <w:t xml:space="preserve"> r</w:t>
      </w:r>
      <w:r w:rsidR="00ED0347" w:rsidRPr="00ED0347">
        <w:t>equérant est un ressortissant de la République de Maurice</w:t>
      </w:r>
      <w:r w:rsidR="009575EE">
        <w:t xml:space="preserve"> ayant été expulsé </w:t>
      </w:r>
      <w:r>
        <w:t xml:space="preserve">du territoire de Tanzanie et frappé du statut de </w:t>
      </w:r>
      <w:proofErr w:type="spellStart"/>
      <w:r w:rsidR="00ED0347">
        <w:rPr>
          <w:i/>
          <w:iCs/>
        </w:rPr>
        <w:t>personna</w:t>
      </w:r>
      <w:proofErr w:type="spellEnd"/>
      <w:r w:rsidR="00ED0347">
        <w:rPr>
          <w:i/>
          <w:iCs/>
        </w:rPr>
        <w:t xml:space="preserve"> non grata</w:t>
      </w:r>
      <w:r w:rsidR="00ED0347">
        <w:t xml:space="preserve">. </w:t>
      </w:r>
      <w:r>
        <w:t xml:space="preserve">Il allègue notamment de l’irrégularité de cette expulsion et d’une violation de son droit à un procès équitable. </w:t>
      </w:r>
    </w:p>
    <w:p w14:paraId="77BB6306" w14:textId="4AB6CA6D" w:rsidR="00406F7D" w:rsidRDefault="008C23AB" w:rsidP="00B75ACF">
      <w:pPr>
        <w:spacing w:line="240" w:lineRule="auto"/>
      </w:pPr>
      <w:r>
        <w:lastRenderedPageBreak/>
        <w:t>La Cour a toutefois déclaré la requête irrecevable au motif que le requérant n’aurait pas démontré sa volonté de saisir les tribunaux de l’État défendeur et que son sta</w:t>
      </w:r>
      <w:r w:rsidR="00E137A5">
        <w:t>t</w:t>
      </w:r>
      <w:r>
        <w:t xml:space="preserve">ut de </w:t>
      </w:r>
      <w:proofErr w:type="spellStart"/>
      <w:r>
        <w:rPr>
          <w:i/>
          <w:iCs/>
        </w:rPr>
        <w:t>personna</w:t>
      </w:r>
      <w:proofErr w:type="spellEnd"/>
      <w:r>
        <w:rPr>
          <w:i/>
          <w:iCs/>
        </w:rPr>
        <w:t xml:space="preserve"> non grata </w:t>
      </w:r>
      <w:r>
        <w:t>l’en aurait empêché. (§52).</w:t>
      </w:r>
      <w:r w:rsidR="00B96663">
        <w:t xml:space="preserve"> </w:t>
      </w:r>
    </w:p>
    <w:p w14:paraId="1F64C315" w14:textId="77777777" w:rsidR="00406F7D" w:rsidRPr="008C23AB" w:rsidRDefault="00406F7D" w:rsidP="00B75ACF">
      <w:pPr>
        <w:spacing w:line="240" w:lineRule="auto"/>
      </w:pPr>
    </w:p>
    <w:sectPr w:rsidR="00406F7D" w:rsidRPr="008C23AB" w:rsidSect="000F7447">
      <w:type w:val="continuous"/>
      <w:pgSz w:w="11900" w:h="16850"/>
      <w:pgMar w:top="1417" w:right="1417" w:bottom="1417" w:left="1417" w:header="720" w:footer="720" w:gutter="0"/>
      <w:cols w:space="720" w:equalWidth="0">
        <w:col w:w="9406"/>
      </w:cols>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B5F"/>
    <w:multiLevelType w:val="multilevel"/>
    <w:tmpl w:val="5E28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96A13"/>
    <w:multiLevelType w:val="multilevel"/>
    <w:tmpl w:val="4ADA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0C5C0C"/>
    <w:multiLevelType w:val="multilevel"/>
    <w:tmpl w:val="E4F8923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135962">
    <w:abstractNumId w:val="0"/>
  </w:num>
  <w:num w:numId="2" w16cid:durableId="228224906">
    <w:abstractNumId w:val="1"/>
  </w:num>
  <w:num w:numId="3" w16cid:durableId="1214001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5C"/>
    <w:rsid w:val="00023C6B"/>
    <w:rsid w:val="0002548F"/>
    <w:rsid w:val="00050A6D"/>
    <w:rsid w:val="00066C0A"/>
    <w:rsid w:val="000D5C79"/>
    <w:rsid w:val="000F6EB1"/>
    <w:rsid w:val="000F7447"/>
    <w:rsid w:val="00133C86"/>
    <w:rsid w:val="00140530"/>
    <w:rsid w:val="00152DE8"/>
    <w:rsid w:val="0015386C"/>
    <w:rsid w:val="001602B1"/>
    <w:rsid w:val="001A3299"/>
    <w:rsid w:val="001C554F"/>
    <w:rsid w:val="001E6F63"/>
    <w:rsid w:val="00206405"/>
    <w:rsid w:val="00211C63"/>
    <w:rsid w:val="00230BB4"/>
    <w:rsid w:val="0026683E"/>
    <w:rsid w:val="0027562B"/>
    <w:rsid w:val="00280DCB"/>
    <w:rsid w:val="002C0B07"/>
    <w:rsid w:val="002D7FCD"/>
    <w:rsid w:val="00321027"/>
    <w:rsid w:val="00347F0F"/>
    <w:rsid w:val="003C5F73"/>
    <w:rsid w:val="00406F7D"/>
    <w:rsid w:val="0042796E"/>
    <w:rsid w:val="00462794"/>
    <w:rsid w:val="004A2F34"/>
    <w:rsid w:val="004B5A7D"/>
    <w:rsid w:val="004E7FD7"/>
    <w:rsid w:val="004F1CBA"/>
    <w:rsid w:val="005522FA"/>
    <w:rsid w:val="00554AD3"/>
    <w:rsid w:val="00561A02"/>
    <w:rsid w:val="00571670"/>
    <w:rsid w:val="00573E7D"/>
    <w:rsid w:val="005764B7"/>
    <w:rsid w:val="00594CB7"/>
    <w:rsid w:val="005C328A"/>
    <w:rsid w:val="005E5EB6"/>
    <w:rsid w:val="00635737"/>
    <w:rsid w:val="00676155"/>
    <w:rsid w:val="006B4261"/>
    <w:rsid w:val="006C3409"/>
    <w:rsid w:val="006C71FC"/>
    <w:rsid w:val="006D6F54"/>
    <w:rsid w:val="006E6DE0"/>
    <w:rsid w:val="0076259D"/>
    <w:rsid w:val="00797D15"/>
    <w:rsid w:val="007E1028"/>
    <w:rsid w:val="00853754"/>
    <w:rsid w:val="00890D51"/>
    <w:rsid w:val="008C23AB"/>
    <w:rsid w:val="008D6409"/>
    <w:rsid w:val="009033DD"/>
    <w:rsid w:val="00910B3F"/>
    <w:rsid w:val="00932C93"/>
    <w:rsid w:val="00933411"/>
    <w:rsid w:val="009459C2"/>
    <w:rsid w:val="009575EE"/>
    <w:rsid w:val="00960A44"/>
    <w:rsid w:val="0096202D"/>
    <w:rsid w:val="009853C3"/>
    <w:rsid w:val="009B3537"/>
    <w:rsid w:val="009E1AF2"/>
    <w:rsid w:val="00A245FC"/>
    <w:rsid w:val="00A2664A"/>
    <w:rsid w:val="00A3342E"/>
    <w:rsid w:val="00A52173"/>
    <w:rsid w:val="00A67E94"/>
    <w:rsid w:val="00A95B8B"/>
    <w:rsid w:val="00A96082"/>
    <w:rsid w:val="00AB594A"/>
    <w:rsid w:val="00AD4460"/>
    <w:rsid w:val="00AE7F70"/>
    <w:rsid w:val="00AF5F11"/>
    <w:rsid w:val="00B402CC"/>
    <w:rsid w:val="00B53B65"/>
    <w:rsid w:val="00B75ACF"/>
    <w:rsid w:val="00B96663"/>
    <w:rsid w:val="00BC6A67"/>
    <w:rsid w:val="00BC7FD7"/>
    <w:rsid w:val="00BD3D8F"/>
    <w:rsid w:val="00C37082"/>
    <w:rsid w:val="00C7009D"/>
    <w:rsid w:val="00C94550"/>
    <w:rsid w:val="00D04C62"/>
    <w:rsid w:val="00D146D2"/>
    <w:rsid w:val="00D675EB"/>
    <w:rsid w:val="00D74F7A"/>
    <w:rsid w:val="00DB7B5C"/>
    <w:rsid w:val="00DD3EFF"/>
    <w:rsid w:val="00DF53C7"/>
    <w:rsid w:val="00E01A77"/>
    <w:rsid w:val="00E137A5"/>
    <w:rsid w:val="00E57842"/>
    <w:rsid w:val="00E912F7"/>
    <w:rsid w:val="00E94D18"/>
    <w:rsid w:val="00EC1338"/>
    <w:rsid w:val="00ED0347"/>
    <w:rsid w:val="00EE0D70"/>
    <w:rsid w:val="00F06FCC"/>
    <w:rsid w:val="00F1430E"/>
    <w:rsid w:val="00F31805"/>
    <w:rsid w:val="00F46747"/>
    <w:rsid w:val="00FA1B1E"/>
    <w:rsid w:val="00FA25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892F7E0"/>
  <w15:chartTrackingRefBased/>
  <w15:docId w15:val="{25752F54-217F-CA44-821E-7EB470DF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F0F"/>
    <w:pPr>
      <w:jc w:val="both"/>
    </w:pPr>
    <w:rPr>
      <w:rFonts w:ascii="Times New Roman" w:hAnsi="Times New Roman"/>
      <w:szCs w:val="22"/>
    </w:rPr>
  </w:style>
  <w:style w:type="paragraph" w:styleId="Titre1">
    <w:name w:val="heading 1"/>
    <w:basedOn w:val="Normal"/>
    <w:next w:val="Normal"/>
    <w:link w:val="Titre1Car"/>
    <w:uiPriority w:val="9"/>
    <w:qFormat/>
    <w:rsid w:val="00BD3D8F"/>
    <w:pPr>
      <w:keepNext/>
      <w:keepLines/>
      <w:spacing w:before="360"/>
      <w:jc w:val="center"/>
      <w:outlineLvl w:val="0"/>
    </w:pPr>
    <w:rPr>
      <w:rFonts w:eastAsiaTheme="majorEastAsia" w:cstheme="majorBidi"/>
      <w:color w:val="000000" w:themeColor="text1"/>
      <w:sz w:val="48"/>
      <w:szCs w:val="40"/>
      <w:u w:val="single"/>
    </w:rPr>
  </w:style>
  <w:style w:type="paragraph" w:styleId="Titre2">
    <w:name w:val="heading 2"/>
    <w:basedOn w:val="Normal"/>
    <w:next w:val="Normal"/>
    <w:link w:val="Titre2Car"/>
    <w:uiPriority w:val="9"/>
    <w:semiHidden/>
    <w:unhideWhenUsed/>
    <w:qFormat/>
    <w:rsid w:val="00DB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B7B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semiHidden/>
    <w:unhideWhenUsed/>
    <w:qFormat/>
    <w:rsid w:val="005E5EB6"/>
    <w:pPr>
      <w:keepNext/>
      <w:spacing w:after="0" w:line="240" w:lineRule="auto"/>
      <w:jc w:val="center"/>
      <w:outlineLvl w:val="3"/>
    </w:pPr>
    <w:rPr>
      <w:rFonts w:eastAsia="Times New Roman" w:cs="Times New Roman"/>
      <w:b/>
      <w:sz w:val="32"/>
      <w:szCs w:val="20"/>
      <w:lang w:eastAsia="fr-FR"/>
    </w:rPr>
  </w:style>
  <w:style w:type="paragraph" w:styleId="Titre5">
    <w:name w:val="heading 5"/>
    <w:basedOn w:val="Normal"/>
    <w:next w:val="Normal"/>
    <w:link w:val="Titre5Car"/>
    <w:uiPriority w:val="9"/>
    <w:semiHidden/>
    <w:unhideWhenUsed/>
    <w:qFormat/>
    <w:rsid w:val="00DB7B5C"/>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B7B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B7B5C"/>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B7B5C"/>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semiHidden/>
    <w:unhideWhenUsed/>
    <w:qFormat/>
    <w:rsid w:val="005E5EB6"/>
    <w:pPr>
      <w:keepNext/>
      <w:spacing w:after="0" w:line="240" w:lineRule="auto"/>
      <w:jc w:val="right"/>
      <w:outlineLvl w:val="8"/>
    </w:pPr>
    <w:rPr>
      <w:rFonts w:ascii="Times" w:eastAsia="Times New Roman" w:hAnsi="Times" w:cs="Times New Roman"/>
      <w:sz w:val="2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semiHidden/>
    <w:rsid w:val="005E5EB6"/>
    <w:rPr>
      <w:rFonts w:ascii="Times New Roman" w:eastAsia="Times New Roman" w:hAnsi="Times New Roman" w:cs="Times New Roman"/>
      <w:b/>
      <w:sz w:val="32"/>
      <w:szCs w:val="20"/>
      <w:lang w:eastAsia="fr-FR"/>
    </w:rPr>
  </w:style>
  <w:style w:type="character" w:customStyle="1" w:styleId="Titre9Car">
    <w:name w:val="Titre 9 Car"/>
    <w:basedOn w:val="Policepardfaut"/>
    <w:link w:val="Titre9"/>
    <w:semiHidden/>
    <w:rsid w:val="005E5EB6"/>
    <w:rPr>
      <w:rFonts w:ascii="Times" w:eastAsia="Times New Roman" w:hAnsi="Times" w:cs="Times New Roman"/>
      <w:sz w:val="28"/>
      <w:szCs w:val="20"/>
      <w:lang w:eastAsia="fr-FR"/>
    </w:rPr>
  </w:style>
  <w:style w:type="paragraph" w:styleId="Sansinterligne">
    <w:name w:val="No Spacing"/>
    <w:uiPriority w:val="1"/>
    <w:qFormat/>
    <w:rsid w:val="005E5EB6"/>
    <w:rPr>
      <w:sz w:val="22"/>
      <w:szCs w:val="22"/>
    </w:rPr>
  </w:style>
  <w:style w:type="paragraph" w:styleId="Paragraphedeliste">
    <w:name w:val="List Paragraph"/>
    <w:basedOn w:val="Normal"/>
    <w:uiPriority w:val="34"/>
    <w:qFormat/>
    <w:rsid w:val="005E5EB6"/>
    <w:pPr>
      <w:ind w:left="720"/>
      <w:contextualSpacing/>
    </w:pPr>
  </w:style>
  <w:style w:type="character" w:customStyle="1" w:styleId="Titre1Car">
    <w:name w:val="Titre 1 Car"/>
    <w:basedOn w:val="Policepardfaut"/>
    <w:link w:val="Titre1"/>
    <w:uiPriority w:val="9"/>
    <w:rsid w:val="00BD3D8F"/>
    <w:rPr>
      <w:rFonts w:ascii="Times New Roman" w:eastAsiaTheme="majorEastAsia" w:hAnsi="Times New Roman" w:cstheme="majorBidi"/>
      <w:color w:val="000000" w:themeColor="text1"/>
      <w:sz w:val="48"/>
      <w:szCs w:val="40"/>
      <w:u w:val="single"/>
    </w:rPr>
  </w:style>
  <w:style w:type="character" w:customStyle="1" w:styleId="Titre2Car">
    <w:name w:val="Titre 2 Car"/>
    <w:basedOn w:val="Policepardfaut"/>
    <w:link w:val="Titre2"/>
    <w:uiPriority w:val="9"/>
    <w:semiHidden/>
    <w:rsid w:val="00DB7B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B7B5C"/>
    <w:rPr>
      <w:rFonts w:eastAsiaTheme="majorEastAsia" w:cstheme="majorBidi"/>
      <w:color w:val="0F4761" w:themeColor="accent1" w:themeShade="BF"/>
      <w:sz w:val="28"/>
      <w:szCs w:val="28"/>
    </w:rPr>
  </w:style>
  <w:style w:type="character" w:customStyle="1" w:styleId="Titre5Car">
    <w:name w:val="Titre 5 Car"/>
    <w:basedOn w:val="Policepardfaut"/>
    <w:link w:val="Titre5"/>
    <w:uiPriority w:val="9"/>
    <w:semiHidden/>
    <w:rsid w:val="00DB7B5C"/>
    <w:rPr>
      <w:rFonts w:eastAsiaTheme="majorEastAsia" w:cstheme="majorBidi"/>
      <w:color w:val="0F4761" w:themeColor="accent1" w:themeShade="BF"/>
      <w:szCs w:val="22"/>
    </w:rPr>
  </w:style>
  <w:style w:type="character" w:customStyle="1" w:styleId="Titre6Car">
    <w:name w:val="Titre 6 Car"/>
    <w:basedOn w:val="Policepardfaut"/>
    <w:link w:val="Titre6"/>
    <w:uiPriority w:val="9"/>
    <w:semiHidden/>
    <w:rsid w:val="00DB7B5C"/>
    <w:rPr>
      <w:rFonts w:eastAsiaTheme="majorEastAsia" w:cstheme="majorBidi"/>
      <w:i/>
      <w:iCs/>
      <w:color w:val="595959" w:themeColor="text1" w:themeTint="A6"/>
      <w:szCs w:val="22"/>
    </w:rPr>
  </w:style>
  <w:style w:type="character" w:customStyle="1" w:styleId="Titre7Car">
    <w:name w:val="Titre 7 Car"/>
    <w:basedOn w:val="Policepardfaut"/>
    <w:link w:val="Titre7"/>
    <w:uiPriority w:val="9"/>
    <w:semiHidden/>
    <w:rsid w:val="00DB7B5C"/>
    <w:rPr>
      <w:rFonts w:eastAsiaTheme="majorEastAsia" w:cstheme="majorBidi"/>
      <w:color w:val="595959" w:themeColor="text1" w:themeTint="A6"/>
      <w:szCs w:val="22"/>
    </w:rPr>
  </w:style>
  <w:style w:type="character" w:customStyle="1" w:styleId="Titre8Car">
    <w:name w:val="Titre 8 Car"/>
    <w:basedOn w:val="Policepardfaut"/>
    <w:link w:val="Titre8"/>
    <w:uiPriority w:val="9"/>
    <w:semiHidden/>
    <w:rsid w:val="00DB7B5C"/>
    <w:rPr>
      <w:rFonts w:eastAsiaTheme="majorEastAsia" w:cstheme="majorBidi"/>
      <w:i/>
      <w:iCs/>
      <w:color w:val="272727" w:themeColor="text1" w:themeTint="D8"/>
      <w:szCs w:val="22"/>
    </w:rPr>
  </w:style>
  <w:style w:type="paragraph" w:styleId="Titre">
    <w:name w:val="Title"/>
    <w:basedOn w:val="Normal"/>
    <w:next w:val="Normal"/>
    <w:link w:val="TitreCar"/>
    <w:uiPriority w:val="10"/>
    <w:qFormat/>
    <w:rsid w:val="00DB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7B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7B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7B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7B5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B7B5C"/>
    <w:rPr>
      <w:rFonts w:ascii="Times New Roman" w:hAnsi="Times New Roman"/>
      <w:i/>
      <w:iCs/>
      <w:color w:val="404040" w:themeColor="text1" w:themeTint="BF"/>
      <w:szCs w:val="22"/>
    </w:rPr>
  </w:style>
  <w:style w:type="character" w:styleId="Accentuationintense">
    <w:name w:val="Intense Emphasis"/>
    <w:basedOn w:val="Policepardfaut"/>
    <w:uiPriority w:val="21"/>
    <w:qFormat/>
    <w:rsid w:val="00DB7B5C"/>
    <w:rPr>
      <w:i/>
      <w:iCs/>
      <w:color w:val="0F4761" w:themeColor="accent1" w:themeShade="BF"/>
    </w:rPr>
  </w:style>
  <w:style w:type="paragraph" w:styleId="Citationintense">
    <w:name w:val="Intense Quote"/>
    <w:basedOn w:val="Normal"/>
    <w:next w:val="Normal"/>
    <w:link w:val="CitationintenseCar"/>
    <w:uiPriority w:val="30"/>
    <w:qFormat/>
    <w:rsid w:val="00DB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7B5C"/>
    <w:rPr>
      <w:rFonts w:ascii="Times New Roman" w:hAnsi="Times New Roman"/>
      <w:i/>
      <w:iCs/>
      <w:color w:val="0F4761" w:themeColor="accent1" w:themeShade="BF"/>
      <w:szCs w:val="22"/>
    </w:rPr>
  </w:style>
  <w:style w:type="character" w:styleId="Rfrenceintense">
    <w:name w:val="Intense Reference"/>
    <w:basedOn w:val="Policepardfaut"/>
    <w:uiPriority w:val="32"/>
    <w:qFormat/>
    <w:rsid w:val="00DB7B5C"/>
    <w:rPr>
      <w:b/>
      <w:bCs/>
      <w:smallCaps/>
      <w:color w:val="0F4761" w:themeColor="accent1" w:themeShade="BF"/>
      <w:spacing w:val="5"/>
    </w:rPr>
  </w:style>
  <w:style w:type="paragraph" w:styleId="NormalWeb">
    <w:name w:val="Normal (Web)"/>
    <w:basedOn w:val="Normal"/>
    <w:uiPriority w:val="99"/>
    <w:semiHidden/>
    <w:unhideWhenUsed/>
    <w:rsid w:val="00152DE8"/>
    <w:rPr>
      <w:rFonts w:cs="Times New Roman"/>
      <w:szCs w:val="24"/>
    </w:rPr>
  </w:style>
  <w:style w:type="character" w:styleId="Lienhypertexte">
    <w:name w:val="Hyperlink"/>
    <w:basedOn w:val="Policepardfaut"/>
    <w:uiPriority w:val="99"/>
    <w:unhideWhenUsed/>
    <w:rsid w:val="00D675EB"/>
    <w:rPr>
      <w:color w:val="467886" w:themeColor="hyperlink"/>
      <w:u w:val="single"/>
    </w:rPr>
  </w:style>
  <w:style w:type="character" w:styleId="Mentionnonrsolue">
    <w:name w:val="Unresolved Mention"/>
    <w:basedOn w:val="Policepardfaut"/>
    <w:uiPriority w:val="99"/>
    <w:semiHidden/>
    <w:unhideWhenUsed/>
    <w:rsid w:val="00D675EB"/>
    <w:rPr>
      <w:color w:val="605E5C"/>
      <w:shd w:val="clear" w:color="auto" w:fill="E1DFDD"/>
    </w:rPr>
  </w:style>
  <w:style w:type="character" w:styleId="Lienhypertextesuivivisit">
    <w:name w:val="FollowedHyperlink"/>
    <w:basedOn w:val="Policepardfaut"/>
    <w:uiPriority w:val="99"/>
    <w:semiHidden/>
    <w:unhideWhenUsed/>
    <w:rsid w:val="00D675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frican-court.org/cpmt/storage/app/uploads/public/687/76d/4a5/68776d4a5a316259208216.pdf" TargetMode="External"/><Relationship Id="rId13" Type="http://schemas.openxmlformats.org/officeDocument/2006/relationships/hyperlink" Target="https://www.african-court.org/cpmt/storage/app/uploads/public/688/74e/20c/68874e20c6fc3871157472.pdf" TargetMode="External"/><Relationship Id="rId3" Type="http://schemas.openxmlformats.org/officeDocument/2006/relationships/settings" Target="settings.xml"/><Relationship Id="rId7" Type="http://schemas.openxmlformats.org/officeDocument/2006/relationships/hyperlink" Target="https://www.african-court.org/cpmt/storage/app/uploads/public/687/76f/e1a/68776fe1a7f93817564917.pdf" TargetMode="External"/><Relationship Id="rId12" Type="http://schemas.openxmlformats.org/officeDocument/2006/relationships/hyperlink" Target="https://www.african-court.org/cpmt/storage/app/uploads/public/686/7e6/146/6867e6146304a204562075.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frican-court.org/cpmt/storage/app/uploads/public/686/7e8/fc6/6867e8fc6344c546415898.pdf" TargetMode="External"/><Relationship Id="rId11" Type="http://schemas.openxmlformats.org/officeDocument/2006/relationships/hyperlink" Target="https://www.african-court.org/cpmt/storage/app/uploads/public/686/7e9/d68/6867e9d68bfd1761119134.pdf" TargetMode="External"/><Relationship Id="rId5" Type="http://schemas.openxmlformats.org/officeDocument/2006/relationships/hyperlink" Target="https://www.african-court.org/cpmt/storage/app/uploads/public/685/541/142/685541142a76d068110864.pdf" TargetMode="External"/><Relationship Id="rId15" Type="http://schemas.openxmlformats.org/officeDocument/2006/relationships/fontTable" Target="fontTable.xml"/><Relationship Id="rId10" Type="http://schemas.openxmlformats.org/officeDocument/2006/relationships/hyperlink" Target="https://www.african-court.org/cpmt/storage/app/uploads/public/686/7e6/bad/6867e6bad9595905323234.pdf" TargetMode="External"/><Relationship Id="rId4" Type="http://schemas.openxmlformats.org/officeDocument/2006/relationships/webSettings" Target="webSettings.xml"/><Relationship Id="rId9" Type="http://schemas.openxmlformats.org/officeDocument/2006/relationships/hyperlink" Target="https://www.african-court.org/cpmt/storage/app/uploads/public/687/75f/5f8/68775f5f8a5c3110192971.pdf" TargetMode="External"/><Relationship Id="rId14" Type="http://schemas.openxmlformats.org/officeDocument/2006/relationships/hyperlink" Target="https://www.african-court.org/cpmt/storage/app/uploads/public/686/7e7/795/6867e7795b20b662619420.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6</Pages>
  <Words>2954</Words>
  <Characters>16248</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Decroix</dc:creator>
  <cp:keywords/>
  <dc:description/>
  <cp:lastModifiedBy>Alexandre Decroix</cp:lastModifiedBy>
  <cp:revision>25</cp:revision>
  <dcterms:created xsi:type="dcterms:W3CDTF">2025-11-18T16:35:00Z</dcterms:created>
  <dcterms:modified xsi:type="dcterms:W3CDTF">2025-11-26T18:46:00Z</dcterms:modified>
</cp:coreProperties>
</file>