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35234" w14:textId="122F2707" w:rsidR="00E7155C" w:rsidRPr="00E82A84" w:rsidRDefault="00E7155C" w:rsidP="00E82A84">
      <w:pPr>
        <w:jc w:val="center"/>
        <w:rPr>
          <w:i/>
          <w:iCs/>
          <w:u w:val="single"/>
        </w:rPr>
      </w:pPr>
      <w:r w:rsidRPr="00E82A84">
        <w:rPr>
          <w:i/>
          <w:iCs/>
          <w:u w:val="single"/>
        </w:rPr>
        <w:t>Plan</w:t>
      </w:r>
    </w:p>
    <w:p w14:paraId="614FE56F" w14:textId="1002096E" w:rsidR="00542A8F" w:rsidRDefault="00542A8F">
      <w:r>
        <w:t xml:space="preserve">Chapitre préliminaire </w:t>
      </w:r>
      <w:r w:rsidR="00E82A84">
        <w:t xml:space="preserve">méthodologique </w:t>
      </w:r>
    </w:p>
    <w:p w14:paraId="3E9C31FE" w14:textId="77777777" w:rsidR="00AC7DB9" w:rsidRDefault="00AC7DB9" w:rsidP="00E82A84">
      <w:pPr>
        <w:rPr>
          <w:u w:val="single"/>
        </w:rPr>
      </w:pPr>
    </w:p>
    <w:p w14:paraId="79C17B70" w14:textId="447D9AB6" w:rsidR="005B2987" w:rsidRDefault="00E7155C" w:rsidP="00AC7DB9">
      <w:pPr>
        <w:jc w:val="center"/>
        <w:rPr>
          <w:u w:val="single"/>
        </w:rPr>
      </w:pPr>
      <w:r w:rsidRPr="00AC7DB9">
        <w:rPr>
          <w:u w:val="single"/>
        </w:rPr>
        <w:t xml:space="preserve">Partie </w:t>
      </w:r>
      <w:r w:rsidR="00542A8F" w:rsidRPr="00AC7DB9">
        <w:rPr>
          <w:u w:val="single"/>
        </w:rPr>
        <w:t xml:space="preserve">I – </w:t>
      </w:r>
      <w:r w:rsidR="00A16606" w:rsidRPr="00A16606">
        <w:rPr>
          <w:u w:val="single"/>
        </w:rPr>
        <w:t>La construction régionale du peuple infra-étatique</w:t>
      </w:r>
    </w:p>
    <w:p w14:paraId="190F44FC" w14:textId="77777777" w:rsidR="00AC7DB9" w:rsidRPr="00AC7DB9" w:rsidRDefault="00AC7DB9" w:rsidP="00AC7DB9">
      <w:pPr>
        <w:jc w:val="center"/>
        <w:rPr>
          <w:u w:val="single"/>
        </w:rPr>
      </w:pPr>
    </w:p>
    <w:p w14:paraId="72CBCE5B" w14:textId="6519D051" w:rsidR="00AC7DB9" w:rsidRDefault="00E7155C" w:rsidP="00AC7DB9">
      <w:pPr>
        <w:jc w:val="center"/>
      </w:pPr>
      <w:r>
        <w:t>Titre 1</w:t>
      </w:r>
      <w:r w:rsidR="00542A8F">
        <w:t xml:space="preserve"> – </w:t>
      </w:r>
      <w:r w:rsidR="00A16606" w:rsidRPr="00A16606">
        <w:t>La nécessité d’une catégorie introuvable dans les cadres existants</w:t>
      </w:r>
    </w:p>
    <w:p w14:paraId="4AF42E84" w14:textId="6EF3AE9A" w:rsidR="005D33D3" w:rsidRPr="0034006D" w:rsidRDefault="00AC7DB9">
      <w:pPr>
        <w:rPr>
          <w:u w:val="single"/>
        </w:rPr>
      </w:pPr>
      <w:r w:rsidRPr="0034006D">
        <w:rPr>
          <w:u w:val="single"/>
        </w:rPr>
        <w:t>Chap</w:t>
      </w:r>
      <w:r w:rsidR="0034006D" w:rsidRPr="0034006D">
        <w:rPr>
          <w:u w:val="single"/>
        </w:rPr>
        <w:t>itre</w:t>
      </w:r>
      <w:r w:rsidRPr="0034006D">
        <w:rPr>
          <w:u w:val="single"/>
        </w:rPr>
        <w:t xml:space="preserve"> 1° </w:t>
      </w:r>
      <w:r w:rsidR="00A16606" w:rsidRPr="0034006D">
        <w:rPr>
          <w:u w:val="single"/>
        </w:rPr>
        <w:t>Les contradictions fondatrices de la mobilisation juridique des appartenances collectives</w:t>
      </w:r>
      <w:r w:rsidR="00825373" w:rsidRPr="0034006D">
        <w:rPr>
          <w:u w:val="single"/>
        </w:rPr>
        <w:t xml:space="preserve"> </w:t>
      </w:r>
    </w:p>
    <w:p w14:paraId="206831FA" w14:textId="207617E7" w:rsidR="005D33D3" w:rsidRPr="00E82A84" w:rsidRDefault="008B3A32" w:rsidP="00AC7DB9">
      <w:pPr>
        <w:ind w:left="708"/>
        <w:rPr>
          <w:i/>
          <w:iCs/>
        </w:rPr>
      </w:pPr>
      <w:r w:rsidRPr="00E82A84">
        <w:rPr>
          <w:i/>
          <w:iCs/>
        </w:rPr>
        <w:t xml:space="preserve">Section 1 :  </w:t>
      </w:r>
      <w:r w:rsidR="00AC7DB9" w:rsidRPr="00E82A84">
        <w:rPr>
          <w:i/>
          <w:iCs/>
        </w:rPr>
        <w:t>Les tensions téléologiques</w:t>
      </w:r>
    </w:p>
    <w:p w14:paraId="3CF57C81" w14:textId="50D9EAF5" w:rsidR="00AC7DB9" w:rsidRPr="00E82A84" w:rsidRDefault="00AC7DB9" w:rsidP="0034006D">
      <w:pPr>
        <w:ind w:left="1416"/>
        <w:rPr>
          <w:sz w:val="20"/>
          <w:szCs w:val="20"/>
        </w:rPr>
      </w:pPr>
      <w:r w:rsidRPr="00E82A84">
        <w:rPr>
          <w:sz w:val="20"/>
          <w:szCs w:val="20"/>
        </w:rPr>
        <w:t>Sous-sec</w:t>
      </w:r>
      <w:r w:rsidR="00E82A84" w:rsidRPr="00E82A84">
        <w:rPr>
          <w:sz w:val="20"/>
          <w:szCs w:val="20"/>
        </w:rPr>
        <w:t>tion</w:t>
      </w:r>
      <w:r w:rsidRPr="00E82A84">
        <w:rPr>
          <w:sz w:val="20"/>
          <w:szCs w:val="20"/>
        </w:rPr>
        <w:t xml:space="preserve"> 1 : souveraineté et identité comme objectifs de la mobilisation de l’outil droit</w:t>
      </w:r>
    </w:p>
    <w:p w14:paraId="243A5963" w14:textId="4C4670EF" w:rsidR="00A16606" w:rsidRPr="00E82A84" w:rsidRDefault="00AC7DB9" w:rsidP="0034006D">
      <w:pPr>
        <w:ind w:left="1416"/>
        <w:rPr>
          <w:sz w:val="20"/>
          <w:szCs w:val="20"/>
        </w:rPr>
      </w:pPr>
      <w:r w:rsidRPr="00E82A84">
        <w:rPr>
          <w:sz w:val="20"/>
          <w:szCs w:val="20"/>
        </w:rPr>
        <w:t xml:space="preserve">Sous-Section 2 : </w:t>
      </w:r>
      <w:r w:rsidR="005D33D3" w:rsidRPr="00E82A84">
        <w:rPr>
          <w:sz w:val="20"/>
          <w:szCs w:val="20"/>
        </w:rPr>
        <w:t xml:space="preserve"> </w:t>
      </w:r>
      <w:r w:rsidRPr="00E82A84">
        <w:rPr>
          <w:sz w:val="20"/>
          <w:szCs w:val="20"/>
        </w:rPr>
        <w:t xml:space="preserve">les droits des peuples comme espace de conflictualité entre identité et souveraineté </w:t>
      </w:r>
    </w:p>
    <w:p w14:paraId="2B25D55C" w14:textId="172FBE35" w:rsidR="00AC7DB9" w:rsidRPr="00AC7DB9" w:rsidRDefault="00A16606" w:rsidP="00AC7DB9">
      <w:pPr>
        <w:rPr>
          <w:rFonts w:ascii="Garamond" w:hAnsi="Garamond"/>
          <w:sz w:val="20"/>
          <w:szCs w:val="18"/>
        </w:rPr>
      </w:pPr>
      <w:r>
        <w:rPr>
          <w:rFonts w:ascii="Garamond" w:hAnsi="Garamond"/>
          <w:sz w:val="20"/>
          <w:szCs w:val="18"/>
        </w:rPr>
        <w:t xml:space="preserve">=&gt; </w:t>
      </w:r>
      <w:r w:rsidR="00E82A84">
        <w:rPr>
          <w:rFonts w:ascii="Garamond" w:hAnsi="Garamond"/>
          <w:sz w:val="20"/>
          <w:szCs w:val="18"/>
        </w:rPr>
        <w:t>L’identité et la souveraineté sont donc bel et bien les forces qui orientent la mobilisation de l’outil « droit » sur le continent.</w:t>
      </w:r>
      <w:r w:rsidR="00E82A84">
        <w:rPr>
          <w:rFonts w:ascii="Garamond" w:hAnsi="Garamond"/>
          <w:sz w:val="20"/>
          <w:szCs w:val="18"/>
        </w:rPr>
        <w:t xml:space="preserve"> Mais, </w:t>
      </w:r>
      <w:r w:rsidRPr="00A16606">
        <w:rPr>
          <w:rFonts w:ascii="Garamond" w:hAnsi="Garamond"/>
          <w:sz w:val="20"/>
          <w:szCs w:val="18"/>
        </w:rPr>
        <w:t>la reconnaissance des continuités collectives n’entre pas spontanément dans le moule de la souveraineté postcoloniale.</w:t>
      </w:r>
      <w:r w:rsidR="00E82A84">
        <w:rPr>
          <w:rFonts w:ascii="Garamond" w:hAnsi="Garamond"/>
          <w:sz w:val="20"/>
          <w:szCs w:val="18"/>
        </w:rPr>
        <w:t xml:space="preserve"> Cela entraine d’importants conflits dans le droit, comme dans le cas des frontières.</w:t>
      </w:r>
    </w:p>
    <w:p w14:paraId="66A98F3D" w14:textId="5BE248DA" w:rsidR="008B3A32" w:rsidRPr="00E82A84" w:rsidRDefault="00AC7DB9" w:rsidP="00AC7DB9">
      <w:pPr>
        <w:ind w:left="708"/>
        <w:rPr>
          <w:i/>
          <w:iCs/>
        </w:rPr>
      </w:pPr>
      <w:r w:rsidRPr="00E82A84">
        <w:rPr>
          <w:i/>
          <w:iCs/>
        </w:rPr>
        <w:t>S</w:t>
      </w:r>
      <w:r w:rsidR="008B3A32" w:rsidRPr="00E82A84">
        <w:rPr>
          <w:i/>
          <w:iCs/>
        </w:rPr>
        <w:t xml:space="preserve">ection 2 : </w:t>
      </w:r>
      <w:r w:rsidRPr="00E82A84">
        <w:rPr>
          <w:i/>
          <w:iCs/>
        </w:rPr>
        <w:t xml:space="preserve">Tensions épistémologiques </w:t>
      </w:r>
    </w:p>
    <w:p w14:paraId="1DF6239B" w14:textId="2558ACBA" w:rsidR="00A14F4B" w:rsidRDefault="00E82A84" w:rsidP="0034006D">
      <w:pPr>
        <w:spacing w:after="0"/>
        <w:ind w:left="1416"/>
        <w:rPr>
          <w:sz w:val="20"/>
          <w:szCs w:val="18"/>
        </w:rPr>
      </w:pPr>
      <w:r w:rsidRPr="00E82A84">
        <w:rPr>
          <w:sz w:val="20"/>
          <w:szCs w:val="18"/>
        </w:rPr>
        <w:t>Sous-section</w:t>
      </w:r>
      <w:r w:rsidR="00AC7DB9" w:rsidRPr="00E82A84">
        <w:rPr>
          <w:sz w:val="20"/>
          <w:szCs w:val="18"/>
        </w:rPr>
        <w:t xml:space="preserve"> 1</w:t>
      </w:r>
      <w:r w:rsidR="00A14F4B" w:rsidRPr="00E82A84">
        <w:rPr>
          <w:sz w:val="20"/>
          <w:szCs w:val="18"/>
        </w:rPr>
        <w:t xml:space="preserve">. </w:t>
      </w:r>
      <w:r w:rsidRPr="00E82A84">
        <w:rPr>
          <w:sz w:val="20"/>
          <w:szCs w:val="18"/>
        </w:rPr>
        <w:t>L’occidentalisation</w:t>
      </w:r>
      <w:r w:rsidR="00A14F4B" w:rsidRPr="00E82A84">
        <w:rPr>
          <w:sz w:val="20"/>
          <w:szCs w:val="18"/>
        </w:rPr>
        <w:t xml:space="preserve"> du monde et les usages africains de la nation</w:t>
      </w:r>
      <w:r w:rsidR="00AC7DB9" w:rsidRPr="00E82A84">
        <w:rPr>
          <w:sz w:val="20"/>
          <w:szCs w:val="18"/>
        </w:rPr>
        <w:t> : les enjeux autour de la catégorisation des catégories humaines et les conséquences juridiqu</w:t>
      </w:r>
      <w:r w:rsidR="00825373" w:rsidRPr="00E82A84">
        <w:rPr>
          <w:sz w:val="20"/>
          <w:szCs w:val="18"/>
        </w:rPr>
        <w:t>e</w:t>
      </w:r>
      <w:r w:rsidR="00AC7DB9" w:rsidRPr="00E82A84">
        <w:rPr>
          <w:sz w:val="20"/>
          <w:szCs w:val="18"/>
        </w:rPr>
        <w:t>s qui en découle.</w:t>
      </w:r>
    </w:p>
    <w:p w14:paraId="17561A7C" w14:textId="77777777" w:rsidR="00E82A84" w:rsidRPr="00E82A84" w:rsidRDefault="00E82A84" w:rsidP="00AC7DB9">
      <w:pPr>
        <w:spacing w:after="0"/>
        <w:ind w:left="1416"/>
        <w:rPr>
          <w:sz w:val="20"/>
          <w:szCs w:val="18"/>
        </w:rPr>
      </w:pPr>
    </w:p>
    <w:p w14:paraId="00C091E7" w14:textId="0448DBF8" w:rsidR="00DB4220" w:rsidRPr="00E82A84" w:rsidRDefault="00E82A84" w:rsidP="0034006D">
      <w:pPr>
        <w:ind w:left="1416"/>
        <w:rPr>
          <w:sz w:val="20"/>
          <w:szCs w:val="18"/>
        </w:rPr>
      </w:pPr>
      <w:r w:rsidRPr="00E82A84">
        <w:rPr>
          <w:sz w:val="20"/>
          <w:szCs w:val="18"/>
        </w:rPr>
        <w:t xml:space="preserve">Sous-section </w:t>
      </w:r>
      <w:r w:rsidR="00A14F4B" w:rsidRPr="00E82A84">
        <w:rPr>
          <w:sz w:val="20"/>
          <w:szCs w:val="18"/>
        </w:rPr>
        <w:t xml:space="preserve">2. </w:t>
      </w:r>
      <w:r w:rsidR="00AC7DB9" w:rsidRPr="00E82A84">
        <w:rPr>
          <w:sz w:val="20"/>
          <w:szCs w:val="18"/>
        </w:rPr>
        <w:t xml:space="preserve">Manifestation de ces tensions </w:t>
      </w:r>
      <w:r w:rsidR="0034006D">
        <w:rPr>
          <w:sz w:val="20"/>
          <w:szCs w:val="18"/>
        </w:rPr>
        <w:t>dans l’espace juridique africains</w:t>
      </w:r>
    </w:p>
    <w:p w14:paraId="2E659E16" w14:textId="289BEBDB" w:rsidR="00AC7DB9" w:rsidRDefault="00A16606" w:rsidP="00A16606">
      <w:pPr>
        <w:rPr>
          <w:rFonts w:ascii="Garamond" w:hAnsi="Garamond"/>
          <w:sz w:val="20"/>
          <w:szCs w:val="20"/>
        </w:rPr>
      </w:pPr>
      <w:r>
        <w:rPr>
          <w:rFonts w:ascii="Garamond" w:hAnsi="Garamond"/>
          <w:sz w:val="20"/>
          <w:szCs w:val="20"/>
        </w:rPr>
        <w:t>=&gt; L</w:t>
      </w:r>
      <w:r w:rsidRPr="00A16606">
        <w:rPr>
          <w:rFonts w:ascii="Garamond" w:hAnsi="Garamond"/>
          <w:sz w:val="20"/>
          <w:szCs w:val="20"/>
        </w:rPr>
        <w:t>es catégories de nation, d’ethnie, de tribu, de communauté ou de peuple ne préexistent pas simplement au droit ; elles sont saisies, reformulées, figées ou reconfigurées par des opérations coloniales, nationales et juridiques de catégorisation.</w:t>
      </w:r>
      <w:r>
        <w:rPr>
          <w:rFonts w:ascii="Garamond" w:hAnsi="Garamond"/>
          <w:sz w:val="20"/>
          <w:szCs w:val="20"/>
        </w:rPr>
        <w:t xml:space="preserve"> L’ethnie, la nation, la tribu </w:t>
      </w:r>
      <w:r w:rsidRPr="00A16606">
        <w:rPr>
          <w:rFonts w:ascii="Garamond" w:hAnsi="Garamond"/>
          <w:sz w:val="20"/>
          <w:szCs w:val="20"/>
        </w:rPr>
        <w:t>n</w:t>
      </w:r>
      <w:r>
        <w:rPr>
          <w:rFonts w:ascii="Garamond" w:hAnsi="Garamond"/>
          <w:sz w:val="20"/>
          <w:szCs w:val="20"/>
        </w:rPr>
        <w:t>e sont</w:t>
      </w:r>
      <w:r w:rsidRPr="00A16606">
        <w:rPr>
          <w:rFonts w:ascii="Garamond" w:hAnsi="Garamond"/>
          <w:sz w:val="20"/>
          <w:szCs w:val="20"/>
        </w:rPr>
        <w:t xml:space="preserve"> ni </w:t>
      </w:r>
      <w:r>
        <w:rPr>
          <w:rFonts w:ascii="Garamond" w:hAnsi="Garamond"/>
          <w:sz w:val="20"/>
          <w:szCs w:val="20"/>
        </w:rPr>
        <w:t>des</w:t>
      </w:r>
      <w:r w:rsidRPr="00A16606">
        <w:rPr>
          <w:rFonts w:ascii="Garamond" w:hAnsi="Garamond"/>
          <w:sz w:val="20"/>
          <w:szCs w:val="20"/>
        </w:rPr>
        <w:t xml:space="preserve"> pure</w:t>
      </w:r>
      <w:r>
        <w:rPr>
          <w:rFonts w:ascii="Garamond" w:hAnsi="Garamond"/>
          <w:sz w:val="20"/>
          <w:szCs w:val="20"/>
        </w:rPr>
        <w:t>s</w:t>
      </w:r>
      <w:r w:rsidRPr="00A16606">
        <w:rPr>
          <w:rFonts w:ascii="Garamond" w:hAnsi="Garamond"/>
          <w:sz w:val="20"/>
          <w:szCs w:val="20"/>
        </w:rPr>
        <w:t xml:space="preserve"> invention</w:t>
      </w:r>
      <w:r>
        <w:rPr>
          <w:rFonts w:ascii="Garamond" w:hAnsi="Garamond"/>
          <w:sz w:val="20"/>
          <w:szCs w:val="20"/>
        </w:rPr>
        <w:t>s</w:t>
      </w:r>
      <w:r w:rsidRPr="00A16606">
        <w:rPr>
          <w:rFonts w:ascii="Garamond" w:hAnsi="Garamond"/>
          <w:sz w:val="20"/>
          <w:szCs w:val="20"/>
        </w:rPr>
        <w:t xml:space="preserve"> juridique</w:t>
      </w:r>
      <w:r>
        <w:rPr>
          <w:rFonts w:ascii="Garamond" w:hAnsi="Garamond"/>
          <w:sz w:val="20"/>
          <w:szCs w:val="20"/>
        </w:rPr>
        <w:t>s</w:t>
      </w:r>
      <w:r w:rsidRPr="00A16606">
        <w:rPr>
          <w:rFonts w:ascii="Garamond" w:hAnsi="Garamond"/>
          <w:sz w:val="20"/>
          <w:szCs w:val="20"/>
        </w:rPr>
        <w:t xml:space="preserve">, ni </w:t>
      </w:r>
      <w:r>
        <w:rPr>
          <w:rFonts w:ascii="Garamond" w:hAnsi="Garamond"/>
          <w:sz w:val="20"/>
          <w:szCs w:val="20"/>
        </w:rPr>
        <w:t>des</w:t>
      </w:r>
      <w:r w:rsidRPr="00A16606">
        <w:rPr>
          <w:rFonts w:ascii="Garamond" w:hAnsi="Garamond"/>
          <w:sz w:val="20"/>
          <w:szCs w:val="20"/>
        </w:rPr>
        <w:t xml:space="preserve"> essence</w:t>
      </w:r>
      <w:r>
        <w:rPr>
          <w:rFonts w:ascii="Garamond" w:hAnsi="Garamond"/>
          <w:sz w:val="20"/>
          <w:szCs w:val="20"/>
        </w:rPr>
        <w:t>s</w:t>
      </w:r>
      <w:r w:rsidRPr="00A16606">
        <w:rPr>
          <w:rFonts w:ascii="Garamond" w:hAnsi="Garamond"/>
          <w:sz w:val="20"/>
          <w:szCs w:val="20"/>
        </w:rPr>
        <w:t xml:space="preserve"> sociale</w:t>
      </w:r>
      <w:r>
        <w:rPr>
          <w:rFonts w:ascii="Garamond" w:hAnsi="Garamond"/>
          <w:sz w:val="20"/>
          <w:szCs w:val="20"/>
        </w:rPr>
        <w:t>s</w:t>
      </w:r>
      <w:r w:rsidRPr="00A16606">
        <w:rPr>
          <w:rFonts w:ascii="Garamond" w:hAnsi="Garamond"/>
          <w:sz w:val="20"/>
          <w:szCs w:val="20"/>
        </w:rPr>
        <w:t xml:space="preserve"> immédiatement donnée</w:t>
      </w:r>
      <w:r>
        <w:rPr>
          <w:rFonts w:ascii="Garamond" w:hAnsi="Garamond"/>
          <w:sz w:val="20"/>
          <w:szCs w:val="20"/>
        </w:rPr>
        <w:t>s</w:t>
      </w:r>
      <w:r w:rsidRPr="00A16606">
        <w:rPr>
          <w:rFonts w:ascii="Garamond" w:hAnsi="Garamond"/>
          <w:sz w:val="20"/>
          <w:szCs w:val="20"/>
        </w:rPr>
        <w:t xml:space="preserve"> ; </w:t>
      </w:r>
      <w:r>
        <w:rPr>
          <w:rFonts w:ascii="Garamond" w:hAnsi="Garamond"/>
          <w:sz w:val="20"/>
          <w:szCs w:val="20"/>
        </w:rPr>
        <w:t>elles sont</w:t>
      </w:r>
      <w:r w:rsidRPr="00A16606">
        <w:rPr>
          <w:rFonts w:ascii="Garamond" w:hAnsi="Garamond"/>
          <w:sz w:val="20"/>
          <w:szCs w:val="20"/>
        </w:rPr>
        <w:t xml:space="preserve"> le produit d’une opération de qualification appliquée à des continuités sociales et politiques préexistantes mais hétérogènes.</w:t>
      </w:r>
      <w:r>
        <w:rPr>
          <w:rFonts w:ascii="Garamond" w:hAnsi="Garamond"/>
          <w:sz w:val="20"/>
          <w:szCs w:val="20"/>
        </w:rPr>
        <w:t xml:space="preserve"> </w:t>
      </w:r>
      <w:proofErr w:type="gramStart"/>
      <w:r w:rsidRPr="00A16606">
        <w:rPr>
          <w:rFonts w:ascii="Garamond" w:hAnsi="Garamond"/>
          <w:sz w:val="20"/>
          <w:szCs w:val="20"/>
        </w:rPr>
        <w:t>le</w:t>
      </w:r>
      <w:proofErr w:type="gramEnd"/>
      <w:r w:rsidRPr="00A16606">
        <w:rPr>
          <w:rFonts w:ascii="Garamond" w:hAnsi="Garamond"/>
          <w:sz w:val="20"/>
          <w:szCs w:val="20"/>
        </w:rPr>
        <w:t xml:space="preserve"> “peuple infra-étatique” n’est </w:t>
      </w:r>
      <w:r>
        <w:rPr>
          <w:rFonts w:ascii="Garamond" w:hAnsi="Garamond"/>
          <w:sz w:val="20"/>
          <w:szCs w:val="20"/>
        </w:rPr>
        <w:t xml:space="preserve">donc </w:t>
      </w:r>
      <w:r w:rsidRPr="00A16606">
        <w:rPr>
          <w:rFonts w:ascii="Garamond" w:hAnsi="Garamond"/>
          <w:sz w:val="20"/>
          <w:szCs w:val="20"/>
        </w:rPr>
        <w:t>pas difficile à penser seulement parce que la réalité est complexe ; il l’est aussi parce que les instruments disponibles pour la nommer sont déjà saturés d’histoire, de pouvoir et d’effets juridiques contradictoires.</w:t>
      </w:r>
    </w:p>
    <w:p w14:paraId="529EC5BC" w14:textId="77777777" w:rsidR="00A16606" w:rsidRDefault="00A16606" w:rsidP="00A16606">
      <w:pPr>
        <w:rPr>
          <w:rFonts w:ascii="Garamond" w:hAnsi="Garamond"/>
          <w:sz w:val="20"/>
          <w:szCs w:val="20"/>
        </w:rPr>
      </w:pPr>
    </w:p>
    <w:p w14:paraId="244F84D9" w14:textId="59617182" w:rsidR="00A16606" w:rsidRPr="00A16606" w:rsidRDefault="00A16606" w:rsidP="00A16606">
      <w:pPr>
        <w:rPr>
          <w:rFonts w:ascii="Garamond" w:hAnsi="Garamond"/>
          <w:sz w:val="20"/>
          <w:szCs w:val="20"/>
        </w:rPr>
      </w:pPr>
      <w:r>
        <w:rPr>
          <w:rFonts w:ascii="Garamond" w:hAnsi="Garamond"/>
          <w:sz w:val="20"/>
          <w:szCs w:val="20"/>
        </w:rPr>
        <w:t xml:space="preserve">= =&gt; (chap°1) : </w:t>
      </w:r>
      <w:r w:rsidRPr="00A16606">
        <w:rPr>
          <w:rFonts w:ascii="Garamond" w:hAnsi="Garamond"/>
          <w:sz w:val="20"/>
          <w:szCs w:val="20"/>
        </w:rPr>
        <w:t>ni la souveraineté postcoloniale, ni les catégories ordinaires de nomination collective ne permettent de penser adéquatement certaines formes de continuité collective infra-étatique ; pourtant le droit ne peut pas les ignorer, car elles produisent des revendications de protection, de participation et d’existence.</w:t>
      </w:r>
    </w:p>
    <w:p w14:paraId="112314BA" w14:textId="77777777" w:rsidR="00A16606" w:rsidRDefault="00A16606" w:rsidP="002B4A33"/>
    <w:p w14:paraId="52139B42" w14:textId="29961E0D" w:rsidR="00AC7DB9" w:rsidRPr="0034006D" w:rsidRDefault="00AC7DB9" w:rsidP="002B4A33">
      <w:pPr>
        <w:rPr>
          <w:u w:val="single"/>
        </w:rPr>
      </w:pPr>
      <w:r w:rsidRPr="0034006D">
        <w:rPr>
          <w:u w:val="single"/>
        </w:rPr>
        <w:t xml:space="preserve">Chapitre 2° : </w:t>
      </w:r>
      <w:r w:rsidR="00A16606" w:rsidRPr="0034006D">
        <w:rPr>
          <w:u w:val="single"/>
        </w:rPr>
        <w:t>l’insuffisance des cadres juridiques existants</w:t>
      </w:r>
    </w:p>
    <w:p w14:paraId="64F9C0F2" w14:textId="00059200" w:rsidR="00AC7DB9" w:rsidRPr="00E82A84" w:rsidRDefault="00AC7DB9" w:rsidP="0034006D">
      <w:pPr>
        <w:ind w:left="708"/>
        <w:rPr>
          <w:i/>
          <w:iCs/>
        </w:rPr>
      </w:pPr>
      <w:r w:rsidRPr="00E82A84">
        <w:rPr>
          <w:i/>
          <w:iCs/>
        </w:rPr>
        <w:t xml:space="preserve">Section 1 : </w:t>
      </w:r>
      <w:r w:rsidR="00A16606" w:rsidRPr="00E82A84">
        <w:rPr>
          <w:rFonts w:cs="Times New Roman"/>
          <w:i/>
          <w:iCs/>
          <w:color w:val="000000"/>
          <w:szCs w:val="24"/>
        </w:rPr>
        <w:t>Des régimes internationaux de qualification partiels et concurrents</w:t>
      </w:r>
    </w:p>
    <w:p w14:paraId="7536EFEB" w14:textId="39CFAA7C" w:rsidR="00AC7DB9" w:rsidRDefault="00E82A84" w:rsidP="0034006D">
      <w:pPr>
        <w:ind w:left="1416"/>
        <w:rPr>
          <w:sz w:val="20"/>
          <w:szCs w:val="18"/>
        </w:rPr>
      </w:pPr>
      <w:r>
        <w:rPr>
          <w:sz w:val="20"/>
          <w:szCs w:val="18"/>
        </w:rPr>
        <w:t>Sous-section</w:t>
      </w:r>
      <w:r w:rsidR="00AC7DB9" w:rsidRPr="00E82A84">
        <w:rPr>
          <w:sz w:val="20"/>
          <w:szCs w:val="18"/>
        </w:rPr>
        <w:t xml:space="preserve"> 1 :</w:t>
      </w:r>
      <w:r w:rsidR="00AC7DB9">
        <w:rPr>
          <w:sz w:val="20"/>
          <w:szCs w:val="18"/>
        </w:rPr>
        <w:t xml:space="preserve"> </w:t>
      </w:r>
      <w:r w:rsidR="00A16606" w:rsidRPr="00A16606">
        <w:rPr>
          <w:sz w:val="20"/>
          <w:szCs w:val="18"/>
        </w:rPr>
        <w:t>Le peuple</w:t>
      </w:r>
      <w:r>
        <w:rPr>
          <w:sz w:val="20"/>
          <w:szCs w:val="18"/>
        </w:rPr>
        <w:t>,</w:t>
      </w:r>
      <w:r w:rsidR="00A16606" w:rsidRPr="00A16606">
        <w:rPr>
          <w:sz w:val="20"/>
          <w:szCs w:val="18"/>
        </w:rPr>
        <w:t xml:space="preserve"> puissance politique et indétermination juridique</w:t>
      </w:r>
    </w:p>
    <w:p w14:paraId="5F521F7C" w14:textId="68DEE4A4" w:rsidR="00AC7DB9" w:rsidRDefault="00E82A84" w:rsidP="0034006D">
      <w:pPr>
        <w:ind w:left="1416"/>
        <w:rPr>
          <w:sz w:val="20"/>
          <w:szCs w:val="18"/>
        </w:rPr>
      </w:pPr>
      <w:r>
        <w:rPr>
          <w:sz w:val="20"/>
          <w:szCs w:val="18"/>
        </w:rPr>
        <w:lastRenderedPageBreak/>
        <w:t xml:space="preserve">Sous-section 2 : </w:t>
      </w:r>
      <w:r w:rsidR="00AC7DB9">
        <w:rPr>
          <w:sz w:val="20"/>
          <w:szCs w:val="18"/>
        </w:rPr>
        <w:t xml:space="preserve"> </w:t>
      </w:r>
      <w:r w:rsidR="00A16606" w:rsidRPr="00A16606">
        <w:rPr>
          <w:sz w:val="20"/>
          <w:szCs w:val="18"/>
        </w:rPr>
        <w:t>Minorités, peuples autochtones et catégories spécialisées</w:t>
      </w:r>
      <w:r>
        <w:rPr>
          <w:sz w:val="20"/>
          <w:szCs w:val="18"/>
        </w:rPr>
        <w:t>,</w:t>
      </w:r>
      <w:r w:rsidR="00A16606" w:rsidRPr="00A16606">
        <w:rPr>
          <w:sz w:val="20"/>
          <w:szCs w:val="18"/>
        </w:rPr>
        <w:t xml:space="preserve"> des protections utiles mais sélectives</w:t>
      </w:r>
    </w:p>
    <w:p w14:paraId="2899061A" w14:textId="7F0BB03C" w:rsidR="00E82A84" w:rsidRDefault="00A16606" w:rsidP="00A16606">
      <w:pPr>
        <w:rPr>
          <w:rFonts w:ascii="Garamond" w:hAnsi="Garamond"/>
          <w:sz w:val="20"/>
          <w:szCs w:val="18"/>
        </w:rPr>
      </w:pPr>
      <w:r>
        <w:rPr>
          <w:rFonts w:ascii="Garamond" w:hAnsi="Garamond"/>
          <w:sz w:val="20"/>
          <w:szCs w:val="18"/>
        </w:rPr>
        <w:t xml:space="preserve">=&gt; </w:t>
      </w:r>
      <w:r w:rsidRPr="00A16606">
        <w:rPr>
          <w:rFonts w:ascii="Garamond" w:hAnsi="Garamond"/>
          <w:sz w:val="20"/>
          <w:szCs w:val="18"/>
        </w:rPr>
        <w:t>une catégorie peut être opératoire pour certains peuples sans être généralisable comme catégorie régionale de qualification.</w:t>
      </w:r>
      <w:r>
        <w:rPr>
          <w:rFonts w:ascii="Garamond" w:hAnsi="Garamond"/>
          <w:sz w:val="20"/>
          <w:szCs w:val="18"/>
        </w:rPr>
        <w:t xml:space="preserve"> </w:t>
      </w:r>
      <w:r w:rsidRPr="00A16606">
        <w:rPr>
          <w:rFonts w:ascii="Garamond" w:hAnsi="Garamond"/>
          <w:sz w:val="20"/>
          <w:szCs w:val="18"/>
        </w:rPr>
        <w:t>Le problème n’est donc pas seulement que “minorité” ou “autochtone” seraient juridiquement imparfaits. Le problème est plus précis :</w:t>
      </w:r>
      <w:r>
        <w:rPr>
          <w:rFonts w:ascii="Garamond" w:hAnsi="Garamond"/>
          <w:sz w:val="20"/>
          <w:szCs w:val="18"/>
        </w:rPr>
        <w:t xml:space="preserve"> </w:t>
      </w:r>
      <w:r w:rsidRPr="00A16606">
        <w:rPr>
          <w:rFonts w:ascii="Garamond" w:hAnsi="Garamond"/>
          <w:sz w:val="20"/>
          <w:szCs w:val="18"/>
        </w:rPr>
        <w:t xml:space="preserve">ces catégories sélectionnent certains modes de vie, certaines formes de visibilité collective, mais elles ne couvrent pas l’ensemble des configurations que </w:t>
      </w:r>
      <w:r w:rsidR="00825373">
        <w:rPr>
          <w:rFonts w:ascii="Garamond" w:hAnsi="Garamond"/>
          <w:sz w:val="20"/>
          <w:szCs w:val="18"/>
        </w:rPr>
        <w:t>la catégorie</w:t>
      </w:r>
      <w:r w:rsidRPr="00A16606">
        <w:rPr>
          <w:rFonts w:ascii="Garamond" w:hAnsi="Garamond"/>
          <w:sz w:val="20"/>
          <w:szCs w:val="18"/>
        </w:rPr>
        <w:t xml:space="preserve"> doit pouvoir saisir.</w:t>
      </w:r>
    </w:p>
    <w:p w14:paraId="78014844" w14:textId="77777777" w:rsidR="0034006D" w:rsidRPr="00A16606" w:rsidRDefault="0034006D" w:rsidP="00A16606">
      <w:pPr>
        <w:rPr>
          <w:rFonts w:ascii="Garamond" w:hAnsi="Garamond"/>
          <w:sz w:val="20"/>
          <w:szCs w:val="18"/>
        </w:rPr>
      </w:pPr>
    </w:p>
    <w:p w14:paraId="3EF76E91" w14:textId="4640A5D7" w:rsidR="00AC7DB9" w:rsidRPr="00E82A84" w:rsidRDefault="00AC7DB9" w:rsidP="0034006D">
      <w:pPr>
        <w:spacing w:after="0"/>
        <w:ind w:left="708"/>
        <w:rPr>
          <w:i/>
          <w:iCs/>
        </w:rPr>
      </w:pPr>
      <w:r w:rsidRPr="00E82A84">
        <w:rPr>
          <w:i/>
          <w:iCs/>
        </w:rPr>
        <w:t xml:space="preserve">Section 2 : hétérogénéité des solutions constitutionnelles africaines </w:t>
      </w:r>
    </w:p>
    <w:p w14:paraId="2B635029" w14:textId="77777777" w:rsidR="00AC7DB9" w:rsidRDefault="00AC7DB9" w:rsidP="00AC7DB9">
      <w:pPr>
        <w:spacing w:after="0"/>
        <w:ind w:left="1416"/>
        <w:rPr>
          <w:i/>
          <w:iCs/>
          <w:sz w:val="20"/>
          <w:szCs w:val="18"/>
        </w:rPr>
      </w:pPr>
    </w:p>
    <w:p w14:paraId="56232583" w14:textId="47656C64" w:rsidR="00A16606" w:rsidRPr="0034006D" w:rsidRDefault="00A16606" w:rsidP="0034006D">
      <w:pPr>
        <w:spacing w:after="0"/>
        <w:ind w:left="1416"/>
        <w:rPr>
          <w:sz w:val="20"/>
          <w:szCs w:val="18"/>
        </w:rPr>
      </w:pPr>
      <w:r w:rsidRPr="0034006D">
        <w:rPr>
          <w:sz w:val="20"/>
          <w:szCs w:val="18"/>
        </w:rPr>
        <w:t>Sous-section 1 : Des modalités variables de reconnaissance des collectivités infra-étatiques</w:t>
      </w:r>
    </w:p>
    <w:p w14:paraId="185D784A" w14:textId="77777777" w:rsidR="00A16606" w:rsidRDefault="00A16606" w:rsidP="00A16606">
      <w:pPr>
        <w:spacing w:after="0"/>
        <w:ind w:left="708"/>
      </w:pPr>
    </w:p>
    <w:p w14:paraId="3E17484E" w14:textId="77777777" w:rsidR="00A16606" w:rsidRDefault="00A16606" w:rsidP="00A16606">
      <w:pPr>
        <w:spacing w:after="0"/>
        <w:rPr>
          <w:i/>
          <w:iCs/>
          <w:sz w:val="20"/>
          <w:szCs w:val="20"/>
        </w:rPr>
      </w:pPr>
    </w:p>
    <w:p w14:paraId="4910D3D6" w14:textId="2505F4CD" w:rsidR="00A16606" w:rsidRPr="0034006D" w:rsidRDefault="00A16606" w:rsidP="0034006D">
      <w:pPr>
        <w:spacing w:after="0"/>
        <w:ind w:left="1416"/>
        <w:rPr>
          <w:sz w:val="20"/>
          <w:szCs w:val="20"/>
        </w:rPr>
      </w:pPr>
      <w:r w:rsidRPr="0034006D">
        <w:rPr>
          <w:sz w:val="20"/>
          <w:szCs w:val="20"/>
        </w:rPr>
        <w:t xml:space="preserve">Sous-section 2 : </w:t>
      </w:r>
      <w:r w:rsidR="00825373" w:rsidRPr="0034006D">
        <w:rPr>
          <w:sz w:val="20"/>
          <w:szCs w:val="20"/>
        </w:rPr>
        <w:t>modèles institutionnels</w:t>
      </w:r>
      <w:r w:rsidRPr="0034006D">
        <w:rPr>
          <w:sz w:val="20"/>
          <w:szCs w:val="20"/>
        </w:rPr>
        <w:t xml:space="preserve"> de reconnaissance</w:t>
      </w:r>
      <w:r w:rsidR="00E82A84" w:rsidRPr="0034006D">
        <w:rPr>
          <w:sz w:val="20"/>
          <w:szCs w:val="20"/>
        </w:rPr>
        <w:t xml:space="preserve"> divergents</w:t>
      </w:r>
    </w:p>
    <w:p w14:paraId="2657D92E" w14:textId="77777777" w:rsidR="0034006D" w:rsidRDefault="0034006D" w:rsidP="00A16606">
      <w:pPr>
        <w:spacing w:after="0"/>
        <w:rPr>
          <w:szCs w:val="24"/>
        </w:rPr>
      </w:pPr>
    </w:p>
    <w:p w14:paraId="3A616B08" w14:textId="5B0D3FDD" w:rsidR="00E82A84" w:rsidRPr="00E82A84" w:rsidRDefault="00E82A84" w:rsidP="00A16606">
      <w:pPr>
        <w:spacing w:after="0"/>
        <w:rPr>
          <w:rFonts w:ascii="Garamond" w:hAnsi="Garamond"/>
          <w:sz w:val="20"/>
          <w:szCs w:val="20"/>
        </w:rPr>
      </w:pPr>
      <w:r>
        <w:rPr>
          <w:szCs w:val="24"/>
        </w:rPr>
        <w:t xml:space="preserve">=&gt; </w:t>
      </w:r>
      <w:r>
        <w:rPr>
          <w:rFonts w:ascii="Garamond" w:hAnsi="Garamond"/>
          <w:sz w:val="20"/>
          <w:szCs w:val="20"/>
        </w:rPr>
        <w:t xml:space="preserve">Les modèles de prise en charge ou même de la reconnaissance des peuples africains et dessinent un espace juridique hétérogène. Les catégories telles qu’elles se déploient n’induisent pas seulement des différences techniques, mais une représentation différenciée de ce que doit être l’existence du peuple infra-étatique en droit. </w:t>
      </w:r>
    </w:p>
    <w:p w14:paraId="60B473AE" w14:textId="77777777" w:rsidR="00A16606" w:rsidRPr="00E82A84" w:rsidRDefault="00A16606" w:rsidP="002B4A33">
      <w:pPr>
        <w:rPr>
          <w:rFonts w:ascii="Garamond" w:hAnsi="Garamond"/>
          <w:sz w:val="20"/>
          <w:szCs w:val="20"/>
        </w:rPr>
      </w:pPr>
    </w:p>
    <w:p w14:paraId="551DD504" w14:textId="17860DD2" w:rsidR="00A16606" w:rsidRPr="00A16606" w:rsidRDefault="00A16606" w:rsidP="002B4A33">
      <w:pPr>
        <w:rPr>
          <w:rFonts w:ascii="Garamond" w:hAnsi="Garamond"/>
          <w:sz w:val="20"/>
          <w:szCs w:val="20"/>
        </w:rPr>
      </w:pPr>
      <w:r>
        <w:rPr>
          <w:rFonts w:ascii="Garamond" w:hAnsi="Garamond"/>
          <w:sz w:val="20"/>
          <w:szCs w:val="20"/>
        </w:rPr>
        <w:t xml:space="preserve">= </w:t>
      </w:r>
      <w:r w:rsidRPr="00A16606">
        <w:rPr>
          <w:rFonts w:ascii="Garamond" w:hAnsi="Garamond"/>
          <w:sz w:val="20"/>
          <w:szCs w:val="20"/>
        </w:rPr>
        <w:t>=&gt;</w:t>
      </w:r>
      <w:r w:rsidR="00E82A84">
        <w:rPr>
          <w:rFonts w:ascii="Garamond" w:hAnsi="Garamond"/>
          <w:sz w:val="20"/>
          <w:szCs w:val="20"/>
        </w:rPr>
        <w:t xml:space="preserve"> (</w:t>
      </w:r>
      <w:proofErr w:type="spellStart"/>
      <w:r w:rsidR="00E82A84">
        <w:rPr>
          <w:rFonts w:ascii="Garamond" w:hAnsi="Garamond"/>
          <w:sz w:val="20"/>
          <w:szCs w:val="20"/>
        </w:rPr>
        <w:t>chap</w:t>
      </w:r>
      <w:proofErr w:type="spellEnd"/>
      <w:r w:rsidR="00E82A84">
        <w:rPr>
          <w:rFonts w:ascii="Garamond" w:hAnsi="Garamond"/>
          <w:sz w:val="20"/>
          <w:szCs w:val="20"/>
        </w:rPr>
        <w:t xml:space="preserve"> 2°)</w:t>
      </w:r>
      <w:r w:rsidRPr="00A16606">
        <w:rPr>
          <w:rFonts w:ascii="Garamond" w:hAnsi="Garamond"/>
          <w:sz w:val="20"/>
          <w:szCs w:val="20"/>
        </w:rPr>
        <w:t xml:space="preserve"> ni le droit international général des catégories collectives, ni les droits constitutionnels africains, pris séparément, ne fournissent un critère régional suffisamment opératoire. </w:t>
      </w:r>
      <w:r>
        <w:rPr>
          <w:rFonts w:ascii="Garamond" w:hAnsi="Garamond"/>
          <w:sz w:val="20"/>
          <w:szCs w:val="20"/>
        </w:rPr>
        <w:t>L</w:t>
      </w:r>
      <w:r w:rsidRPr="00A16606">
        <w:rPr>
          <w:rFonts w:ascii="Garamond" w:hAnsi="Garamond"/>
          <w:sz w:val="20"/>
          <w:szCs w:val="20"/>
        </w:rPr>
        <w:t>es cadres existants sont trop partiels ou trop dispersés pour fournir un critère régional opératoire</w:t>
      </w:r>
      <w:r>
        <w:rPr>
          <w:rFonts w:ascii="Garamond" w:hAnsi="Garamond"/>
          <w:sz w:val="20"/>
          <w:szCs w:val="20"/>
        </w:rPr>
        <w:t xml:space="preserve">. </w:t>
      </w:r>
    </w:p>
    <w:p w14:paraId="48883B95" w14:textId="77777777" w:rsidR="0034006D" w:rsidRDefault="0034006D" w:rsidP="00AC7DB9">
      <w:pPr>
        <w:jc w:val="center"/>
      </w:pPr>
    </w:p>
    <w:p w14:paraId="5D769E72" w14:textId="7B5D6212" w:rsidR="002B4A33" w:rsidRDefault="002B4A33" w:rsidP="00AC7DB9">
      <w:pPr>
        <w:jc w:val="center"/>
      </w:pPr>
      <w:r>
        <w:t xml:space="preserve">Titre 2 – </w:t>
      </w:r>
      <w:r w:rsidR="00AC7DB9">
        <w:t>Le choix du système africain quant à la qualification du peuple infra-étatique</w:t>
      </w:r>
    </w:p>
    <w:p w14:paraId="67C13D66" w14:textId="77777777" w:rsidR="0034006D" w:rsidRDefault="0034006D" w:rsidP="0034006D">
      <w:pPr>
        <w:rPr>
          <w:u w:val="single"/>
        </w:rPr>
      </w:pPr>
    </w:p>
    <w:p w14:paraId="6EAF30A8" w14:textId="7E74F3FD" w:rsidR="00AC7DB9" w:rsidRPr="0034006D" w:rsidRDefault="002B4A33" w:rsidP="0034006D">
      <w:pPr>
        <w:rPr>
          <w:u w:val="single"/>
        </w:rPr>
      </w:pPr>
      <w:r w:rsidRPr="0034006D">
        <w:rPr>
          <w:u w:val="single"/>
        </w:rPr>
        <w:t xml:space="preserve">Chapitre </w:t>
      </w:r>
      <w:r w:rsidR="00001D72" w:rsidRPr="0034006D">
        <w:rPr>
          <w:u w:val="single"/>
        </w:rPr>
        <w:t>3</w:t>
      </w:r>
      <w:r w:rsidRPr="0034006D">
        <w:rPr>
          <w:u w:val="single"/>
        </w:rPr>
        <w:t xml:space="preserve">° </w:t>
      </w:r>
      <w:r w:rsidR="00A16606" w:rsidRPr="0034006D">
        <w:rPr>
          <w:u w:val="single"/>
        </w:rPr>
        <w:t>La cristallisation africaine du peuple infra-étatique comme catégorie juridique fonctionnelle</w:t>
      </w:r>
    </w:p>
    <w:p w14:paraId="23766363" w14:textId="13336FAA" w:rsidR="00A16606" w:rsidRPr="0034006D" w:rsidRDefault="00AC7DB9" w:rsidP="0034006D">
      <w:pPr>
        <w:ind w:left="708"/>
        <w:rPr>
          <w:i/>
          <w:iCs/>
        </w:rPr>
      </w:pPr>
      <w:r w:rsidRPr="0034006D">
        <w:rPr>
          <w:i/>
          <w:iCs/>
        </w:rPr>
        <w:t>Section 1 — Construction progressive et stabilisation jurisprudentielle : tempérer identité</w:t>
      </w:r>
      <w:r w:rsidR="0034006D" w:rsidRPr="0034006D">
        <w:rPr>
          <w:i/>
          <w:iCs/>
        </w:rPr>
        <w:t xml:space="preserve"> et </w:t>
      </w:r>
      <w:r w:rsidRPr="0034006D">
        <w:rPr>
          <w:i/>
          <w:iCs/>
        </w:rPr>
        <w:t xml:space="preserve">souveraineté </w:t>
      </w:r>
    </w:p>
    <w:p w14:paraId="75A43CC9" w14:textId="7A8D8D65" w:rsidR="00AC7DB9" w:rsidRPr="0034006D" w:rsidRDefault="00A16606" w:rsidP="00AC7DB9">
      <w:pPr>
        <w:spacing w:after="0"/>
        <w:ind w:left="1416"/>
        <w:rPr>
          <w:sz w:val="20"/>
          <w:szCs w:val="20"/>
        </w:rPr>
      </w:pPr>
      <w:r w:rsidRPr="0034006D">
        <w:rPr>
          <w:sz w:val="20"/>
          <w:szCs w:val="20"/>
        </w:rPr>
        <w:t xml:space="preserve">Sous-section </w:t>
      </w:r>
      <w:r w:rsidR="00AC7DB9" w:rsidRPr="0034006D">
        <w:rPr>
          <w:sz w:val="20"/>
          <w:szCs w:val="20"/>
        </w:rPr>
        <w:t xml:space="preserve">1 : </w:t>
      </w:r>
      <w:r w:rsidRPr="0034006D">
        <w:rPr>
          <w:sz w:val="20"/>
          <w:szCs w:val="20"/>
        </w:rPr>
        <w:t xml:space="preserve">hésitation </w:t>
      </w:r>
      <w:r w:rsidR="00AC7DB9" w:rsidRPr="0034006D">
        <w:rPr>
          <w:sz w:val="20"/>
          <w:szCs w:val="20"/>
        </w:rPr>
        <w:t xml:space="preserve">avant l’affaire </w:t>
      </w:r>
      <w:proofErr w:type="spellStart"/>
      <w:r w:rsidR="00AC7DB9" w:rsidRPr="0034006D">
        <w:rPr>
          <w:sz w:val="20"/>
          <w:szCs w:val="20"/>
        </w:rPr>
        <w:t>Ogyek</w:t>
      </w:r>
      <w:proofErr w:type="spellEnd"/>
    </w:p>
    <w:p w14:paraId="641AFDF5" w14:textId="77777777" w:rsidR="00A16606" w:rsidRPr="0034006D" w:rsidRDefault="00A16606" w:rsidP="00AC7DB9">
      <w:pPr>
        <w:spacing w:after="0"/>
        <w:ind w:left="1416"/>
        <w:rPr>
          <w:sz w:val="20"/>
          <w:szCs w:val="20"/>
        </w:rPr>
      </w:pPr>
    </w:p>
    <w:p w14:paraId="72289EFA" w14:textId="6AB2B01B" w:rsidR="00AC7DB9" w:rsidRPr="0034006D" w:rsidRDefault="00A16606" w:rsidP="00AC7DB9">
      <w:pPr>
        <w:spacing w:after="0"/>
        <w:ind w:left="1416"/>
        <w:rPr>
          <w:sz w:val="20"/>
          <w:szCs w:val="20"/>
        </w:rPr>
      </w:pPr>
      <w:r w:rsidRPr="0034006D">
        <w:rPr>
          <w:sz w:val="20"/>
          <w:szCs w:val="20"/>
        </w:rPr>
        <w:t>Sous-section</w:t>
      </w:r>
      <w:r w:rsidR="00AC7DB9" w:rsidRPr="0034006D">
        <w:rPr>
          <w:sz w:val="20"/>
          <w:szCs w:val="20"/>
        </w:rPr>
        <w:t xml:space="preserve"> 2 : affaire </w:t>
      </w:r>
      <w:proofErr w:type="spellStart"/>
      <w:r w:rsidR="00AC7DB9" w:rsidRPr="0034006D">
        <w:rPr>
          <w:sz w:val="20"/>
          <w:szCs w:val="20"/>
        </w:rPr>
        <w:t>Ogyek</w:t>
      </w:r>
      <w:proofErr w:type="spellEnd"/>
      <w:r w:rsidR="00AC7DB9" w:rsidRPr="0034006D">
        <w:rPr>
          <w:sz w:val="20"/>
          <w:szCs w:val="20"/>
        </w:rPr>
        <w:t xml:space="preserve"> et stabilisation progressive</w:t>
      </w:r>
    </w:p>
    <w:p w14:paraId="3F70FFDF" w14:textId="77777777" w:rsidR="00AC7DB9" w:rsidRPr="00AC7DB9" w:rsidRDefault="00AC7DB9" w:rsidP="00AC7DB9">
      <w:pPr>
        <w:spacing w:after="0"/>
        <w:ind w:left="1416"/>
        <w:rPr>
          <w:szCs w:val="24"/>
        </w:rPr>
      </w:pPr>
    </w:p>
    <w:p w14:paraId="11EE3596" w14:textId="77777777" w:rsidR="00AC7DB9" w:rsidRPr="002B4A33" w:rsidRDefault="00AC7DB9" w:rsidP="002B4A33">
      <w:pPr>
        <w:spacing w:after="0"/>
        <w:ind w:left="1416"/>
        <w:rPr>
          <w:i/>
          <w:iCs/>
          <w:sz w:val="20"/>
          <w:szCs w:val="18"/>
        </w:rPr>
      </w:pPr>
    </w:p>
    <w:p w14:paraId="52D60773" w14:textId="4B70C7D4" w:rsidR="00AC7DB9" w:rsidRPr="0034006D" w:rsidRDefault="00AC7DB9" w:rsidP="0034006D">
      <w:pPr>
        <w:ind w:left="708"/>
        <w:rPr>
          <w:i/>
          <w:iCs/>
        </w:rPr>
      </w:pPr>
      <w:r w:rsidRPr="0034006D">
        <w:rPr>
          <w:i/>
          <w:iCs/>
        </w:rPr>
        <w:t xml:space="preserve">Section 2 : Le peuple infra-étatique comme catégorie juridique fonctionnelle </w:t>
      </w:r>
    </w:p>
    <w:p w14:paraId="1142C8C0" w14:textId="0C3E1741" w:rsidR="00AC7DB9" w:rsidRPr="0034006D" w:rsidRDefault="00AC7DB9" w:rsidP="00AC7DB9">
      <w:pPr>
        <w:ind w:left="1416"/>
        <w:rPr>
          <w:sz w:val="20"/>
          <w:szCs w:val="18"/>
        </w:rPr>
      </w:pPr>
      <w:r w:rsidRPr="0034006D">
        <w:rPr>
          <w:sz w:val="20"/>
          <w:szCs w:val="18"/>
        </w:rPr>
        <w:t xml:space="preserve">Sous-section 1 : éléments de droit positif </w:t>
      </w:r>
    </w:p>
    <w:p w14:paraId="43212836" w14:textId="5AF7E78B" w:rsidR="00A16606" w:rsidRPr="0034006D" w:rsidRDefault="00AC7DB9" w:rsidP="00A16606">
      <w:pPr>
        <w:ind w:left="1416"/>
        <w:rPr>
          <w:sz w:val="20"/>
          <w:szCs w:val="18"/>
        </w:rPr>
      </w:pPr>
      <w:r w:rsidRPr="0034006D">
        <w:rPr>
          <w:sz w:val="20"/>
          <w:szCs w:val="18"/>
        </w:rPr>
        <w:t xml:space="preserve">Sous-section 2 : </w:t>
      </w:r>
      <w:r w:rsidR="00A16606" w:rsidRPr="0034006D">
        <w:rPr>
          <w:sz w:val="20"/>
          <w:szCs w:val="18"/>
        </w:rPr>
        <w:t xml:space="preserve">L’opérabilité contentieuse de la qualification </w:t>
      </w:r>
      <w:r w:rsidR="000B3074" w:rsidRPr="0034006D">
        <w:rPr>
          <w:sz w:val="20"/>
          <w:szCs w:val="18"/>
        </w:rPr>
        <w:t>(mode de saisine, africanité des ONG etc.)</w:t>
      </w:r>
    </w:p>
    <w:p w14:paraId="2F7645D2" w14:textId="24D0873B" w:rsidR="00A16606" w:rsidRDefault="00A16606" w:rsidP="00A16606">
      <w:pPr>
        <w:rPr>
          <w:rFonts w:ascii="Garamond" w:hAnsi="Garamond"/>
          <w:sz w:val="20"/>
          <w:szCs w:val="20"/>
        </w:rPr>
      </w:pPr>
      <w:r>
        <w:rPr>
          <w:rFonts w:ascii="Garamond" w:hAnsi="Garamond"/>
          <w:sz w:val="20"/>
          <w:szCs w:val="20"/>
        </w:rPr>
        <w:t>= =&gt;</w:t>
      </w:r>
      <w:r w:rsidR="00E82A84">
        <w:rPr>
          <w:rFonts w:ascii="Garamond" w:hAnsi="Garamond"/>
          <w:sz w:val="20"/>
          <w:szCs w:val="20"/>
        </w:rPr>
        <w:t xml:space="preserve"> (</w:t>
      </w:r>
      <w:proofErr w:type="spellStart"/>
      <w:r w:rsidR="00E82A84">
        <w:rPr>
          <w:rFonts w:ascii="Garamond" w:hAnsi="Garamond"/>
          <w:sz w:val="20"/>
          <w:szCs w:val="20"/>
        </w:rPr>
        <w:t>Chap</w:t>
      </w:r>
      <w:proofErr w:type="spellEnd"/>
      <w:r w:rsidR="00E82A84">
        <w:rPr>
          <w:rFonts w:ascii="Garamond" w:hAnsi="Garamond"/>
          <w:sz w:val="20"/>
          <w:szCs w:val="20"/>
        </w:rPr>
        <w:t xml:space="preserve"> 3°)</w:t>
      </w:r>
      <w:r>
        <w:rPr>
          <w:rFonts w:ascii="Garamond" w:hAnsi="Garamond"/>
          <w:sz w:val="20"/>
          <w:szCs w:val="20"/>
        </w:rPr>
        <w:t xml:space="preserve"> </w:t>
      </w:r>
      <w:r w:rsidRPr="00A16606">
        <w:rPr>
          <w:rFonts w:ascii="Garamond" w:hAnsi="Garamond"/>
          <w:sz w:val="20"/>
          <w:szCs w:val="20"/>
        </w:rPr>
        <w:t>le système africain n’a pas découvert un peuple infra-étatique déjà prêt ; il l’a qualifié progressivement, à travers la jurisprudence, au moyen d’un critère fonctionnel suffisamment souple pour ne pas reconduire les catégories surchargées du chapitre 1 ni les cadres trop spécialisés du chapitre 2.</w:t>
      </w:r>
      <w:r>
        <w:rPr>
          <w:rFonts w:ascii="Garamond" w:hAnsi="Garamond"/>
          <w:sz w:val="20"/>
          <w:szCs w:val="20"/>
        </w:rPr>
        <w:t xml:space="preserve"> C</w:t>
      </w:r>
      <w:r w:rsidRPr="00A16606">
        <w:rPr>
          <w:rFonts w:ascii="Garamond" w:hAnsi="Garamond"/>
          <w:sz w:val="20"/>
          <w:szCs w:val="20"/>
        </w:rPr>
        <w:t xml:space="preserve">ette qualification n’est pas seulement substantielle ; elle devient juridiquement effective parce que la jurisprudence a également construit les conditions procédurales de son </w:t>
      </w:r>
      <w:r w:rsidRPr="00A16606">
        <w:rPr>
          <w:rFonts w:ascii="Garamond" w:hAnsi="Garamond"/>
          <w:sz w:val="20"/>
          <w:szCs w:val="20"/>
        </w:rPr>
        <w:lastRenderedPageBreak/>
        <w:t xml:space="preserve">invocation. </w:t>
      </w:r>
      <w:r w:rsidR="00B93759" w:rsidRPr="00A16606">
        <w:rPr>
          <w:rFonts w:ascii="Garamond" w:hAnsi="Garamond"/>
          <w:sz w:val="20"/>
          <w:szCs w:val="20"/>
        </w:rPr>
        <w:t>La</w:t>
      </w:r>
      <w:r w:rsidRPr="00A16606">
        <w:rPr>
          <w:rFonts w:ascii="Garamond" w:hAnsi="Garamond"/>
          <w:sz w:val="20"/>
          <w:szCs w:val="20"/>
        </w:rPr>
        <w:t xml:space="preserve"> Charte ne contient pas, à l’état textuel, un régime substantiel déjà constitué des peuples infra-étatiques ; ce régime n’émerge que par interprétation progressive, et cette même dynamique interprétative vaut aussi pour les conditions procédurales de sa mise en œuvre.</w:t>
      </w:r>
    </w:p>
    <w:p w14:paraId="162CE260" w14:textId="67615903" w:rsidR="00A16606" w:rsidRPr="00A16606" w:rsidRDefault="00A16606" w:rsidP="00A16606">
      <w:pPr>
        <w:rPr>
          <w:rFonts w:ascii="Garamond" w:hAnsi="Garamond"/>
          <w:sz w:val="20"/>
          <w:szCs w:val="20"/>
        </w:rPr>
      </w:pPr>
    </w:p>
    <w:p w14:paraId="709E9DCF" w14:textId="51EFE785" w:rsidR="002B4A33" w:rsidRPr="0034006D" w:rsidRDefault="002B4A33" w:rsidP="0034006D">
      <w:pPr>
        <w:rPr>
          <w:u w:val="single"/>
        </w:rPr>
      </w:pPr>
      <w:r w:rsidRPr="0034006D">
        <w:rPr>
          <w:u w:val="single"/>
        </w:rPr>
        <w:t xml:space="preserve">Chapitre </w:t>
      </w:r>
      <w:r w:rsidR="00001D72" w:rsidRPr="0034006D">
        <w:rPr>
          <w:u w:val="single"/>
        </w:rPr>
        <w:t>4</w:t>
      </w:r>
      <w:r w:rsidRPr="0034006D">
        <w:rPr>
          <w:u w:val="single"/>
        </w:rPr>
        <w:t xml:space="preserve">° </w:t>
      </w:r>
      <w:r w:rsidR="00A16606" w:rsidRPr="0034006D">
        <w:rPr>
          <w:u w:val="single"/>
        </w:rPr>
        <w:t>La spécificité africaine d’une catégorie juridique non essentialiste (pourquoi cette construction est spécifiquement africaine sans être isolée du droit international général)</w:t>
      </w:r>
    </w:p>
    <w:p w14:paraId="6FDDBC4F" w14:textId="77BD4951" w:rsidR="00D20916" w:rsidRPr="0034006D" w:rsidRDefault="00D20916" w:rsidP="0034006D">
      <w:pPr>
        <w:ind w:left="708"/>
        <w:rPr>
          <w:i/>
          <w:iCs/>
        </w:rPr>
      </w:pPr>
      <w:r w:rsidRPr="0034006D">
        <w:rPr>
          <w:i/>
          <w:iCs/>
        </w:rPr>
        <w:t xml:space="preserve">Section 1 — </w:t>
      </w:r>
      <w:r w:rsidR="00A16606" w:rsidRPr="0034006D">
        <w:rPr>
          <w:i/>
          <w:iCs/>
        </w:rPr>
        <w:t>Le sens doctrinal de la qualification africaine</w:t>
      </w:r>
    </w:p>
    <w:p w14:paraId="76105F47" w14:textId="119D7628" w:rsidR="00A16606" w:rsidRPr="0034006D" w:rsidRDefault="00A16606" w:rsidP="00A16606">
      <w:pPr>
        <w:spacing w:after="0"/>
        <w:ind w:left="1416"/>
        <w:rPr>
          <w:sz w:val="20"/>
          <w:szCs w:val="20"/>
        </w:rPr>
      </w:pPr>
      <w:r w:rsidRPr="0034006D">
        <w:rPr>
          <w:sz w:val="20"/>
          <w:szCs w:val="20"/>
        </w:rPr>
        <w:t xml:space="preserve">Sous-section 1 L’identité complexe comme clé de lecture de la catégorie fonctionnelle </w:t>
      </w:r>
    </w:p>
    <w:p w14:paraId="5DD00AE3" w14:textId="77777777" w:rsidR="00A16606" w:rsidRPr="0034006D" w:rsidRDefault="00A16606" w:rsidP="00A16606">
      <w:pPr>
        <w:spacing w:after="0"/>
        <w:ind w:left="1416"/>
        <w:rPr>
          <w:rFonts w:ascii="Garamond" w:hAnsi="Garamond"/>
          <w:sz w:val="15"/>
          <w:szCs w:val="15"/>
        </w:rPr>
      </w:pPr>
    </w:p>
    <w:p w14:paraId="18AFD653" w14:textId="53116803" w:rsidR="00A16606" w:rsidRPr="0034006D" w:rsidRDefault="00A16606" w:rsidP="00A16606">
      <w:pPr>
        <w:spacing w:after="0"/>
        <w:ind w:left="1416"/>
        <w:rPr>
          <w:sz w:val="20"/>
          <w:szCs w:val="20"/>
        </w:rPr>
      </w:pPr>
      <w:r w:rsidRPr="0034006D">
        <w:rPr>
          <w:sz w:val="20"/>
          <w:szCs w:val="20"/>
        </w:rPr>
        <w:t>Sous-section 2 : Droits collectifs, protection systémique et spécificité interprétative de la Charte africaine</w:t>
      </w:r>
    </w:p>
    <w:p w14:paraId="27AD80DF" w14:textId="77777777" w:rsidR="00A16606" w:rsidRPr="00AC7DB9" w:rsidRDefault="00A16606" w:rsidP="00AC7DB9">
      <w:pPr>
        <w:spacing w:after="0"/>
        <w:ind w:left="1416"/>
        <w:rPr>
          <w:i/>
          <w:iCs/>
          <w:sz w:val="20"/>
          <w:szCs w:val="20"/>
        </w:rPr>
      </w:pPr>
    </w:p>
    <w:p w14:paraId="07DBD7BA" w14:textId="18DC4DFE" w:rsidR="00A16606" w:rsidRPr="00A16606" w:rsidRDefault="00E82A84" w:rsidP="00A16606">
      <w:pPr>
        <w:spacing w:after="0"/>
        <w:rPr>
          <w:rFonts w:ascii="Garamond" w:hAnsi="Garamond"/>
          <w:sz w:val="20"/>
          <w:szCs w:val="20"/>
        </w:rPr>
      </w:pPr>
      <w:r>
        <w:rPr>
          <w:rFonts w:ascii="Garamond" w:hAnsi="Garamond"/>
          <w:sz w:val="20"/>
          <w:szCs w:val="20"/>
        </w:rPr>
        <w:t xml:space="preserve">= </w:t>
      </w:r>
      <w:r w:rsidR="00A16606">
        <w:rPr>
          <w:rFonts w:ascii="Garamond" w:hAnsi="Garamond"/>
          <w:sz w:val="20"/>
          <w:szCs w:val="20"/>
        </w:rPr>
        <w:t xml:space="preserve">=&gt; </w:t>
      </w:r>
      <w:r w:rsidR="00A16606" w:rsidRPr="00A16606">
        <w:rPr>
          <w:rFonts w:ascii="Garamond" w:hAnsi="Garamond"/>
          <w:sz w:val="20"/>
          <w:szCs w:val="20"/>
        </w:rPr>
        <w:t>la catégorie jurisprudentielle n’est pas seulement un</w:t>
      </w:r>
      <w:r w:rsidR="00825373">
        <w:rPr>
          <w:rFonts w:ascii="Garamond" w:hAnsi="Garamond"/>
          <w:sz w:val="20"/>
          <w:szCs w:val="20"/>
        </w:rPr>
        <w:t xml:space="preserve">e construction </w:t>
      </w:r>
      <w:r w:rsidR="00A16606" w:rsidRPr="00A16606">
        <w:rPr>
          <w:rFonts w:ascii="Garamond" w:hAnsi="Garamond"/>
          <w:sz w:val="20"/>
          <w:szCs w:val="20"/>
        </w:rPr>
        <w:t xml:space="preserve">technique ; elle traduit </w:t>
      </w:r>
      <w:r w:rsidR="00825373">
        <w:rPr>
          <w:rFonts w:ascii="Garamond" w:hAnsi="Garamond"/>
          <w:sz w:val="20"/>
          <w:szCs w:val="20"/>
        </w:rPr>
        <w:t xml:space="preserve">des débats </w:t>
      </w:r>
      <w:r w:rsidR="00B93759">
        <w:rPr>
          <w:rFonts w:ascii="Garamond" w:hAnsi="Garamond"/>
          <w:sz w:val="20"/>
          <w:szCs w:val="20"/>
        </w:rPr>
        <w:t>autour</w:t>
      </w:r>
      <w:r w:rsidR="00825373">
        <w:rPr>
          <w:rFonts w:ascii="Garamond" w:hAnsi="Garamond"/>
          <w:sz w:val="20"/>
          <w:szCs w:val="20"/>
        </w:rPr>
        <w:t xml:space="preserve"> d’une vision </w:t>
      </w:r>
      <w:r w:rsidR="00A16606" w:rsidRPr="00A16606">
        <w:rPr>
          <w:rFonts w:ascii="Garamond" w:hAnsi="Garamond"/>
          <w:sz w:val="20"/>
          <w:szCs w:val="20"/>
        </w:rPr>
        <w:t xml:space="preserve">africaine </w:t>
      </w:r>
      <w:r w:rsidR="00825373">
        <w:rPr>
          <w:rFonts w:ascii="Garamond" w:hAnsi="Garamond"/>
          <w:sz w:val="20"/>
          <w:szCs w:val="20"/>
        </w:rPr>
        <w:t>d</w:t>
      </w:r>
      <w:r w:rsidR="00A16606" w:rsidRPr="00A16606">
        <w:rPr>
          <w:rFonts w:ascii="Garamond" w:hAnsi="Garamond"/>
          <w:sz w:val="20"/>
          <w:szCs w:val="20"/>
        </w:rPr>
        <w:t>e</w:t>
      </w:r>
      <w:r w:rsidR="00825373">
        <w:rPr>
          <w:rFonts w:ascii="Garamond" w:hAnsi="Garamond"/>
          <w:sz w:val="20"/>
          <w:szCs w:val="20"/>
        </w:rPr>
        <w:t>s droits</w:t>
      </w:r>
      <w:r w:rsidR="00A16606">
        <w:rPr>
          <w:rFonts w:ascii="Garamond" w:hAnsi="Garamond"/>
          <w:sz w:val="20"/>
          <w:szCs w:val="20"/>
        </w:rPr>
        <w:t>. L</w:t>
      </w:r>
      <w:r w:rsidR="00A16606" w:rsidRPr="00A16606">
        <w:rPr>
          <w:rFonts w:ascii="Garamond" w:hAnsi="Garamond"/>
          <w:sz w:val="20"/>
          <w:szCs w:val="20"/>
        </w:rPr>
        <w:t>a qualification africaine n’est pas une pure invention de la jurisprudence ; elle s’inscrit dans un horizon intellectuel où les droits collectifs occupent une place plus structurante qu</w:t>
      </w:r>
      <w:r w:rsidR="00825373">
        <w:rPr>
          <w:rFonts w:ascii="Garamond" w:hAnsi="Garamond"/>
          <w:sz w:val="20"/>
          <w:szCs w:val="20"/>
        </w:rPr>
        <w:t>e dans</w:t>
      </w:r>
      <w:r w:rsidR="00A16606" w:rsidRPr="00A16606">
        <w:rPr>
          <w:rFonts w:ascii="Garamond" w:hAnsi="Garamond"/>
          <w:sz w:val="20"/>
          <w:szCs w:val="20"/>
        </w:rPr>
        <w:t xml:space="preserve"> d’autres systèmes. </w:t>
      </w:r>
      <w:r w:rsidR="00825373">
        <w:rPr>
          <w:rFonts w:ascii="Garamond" w:hAnsi="Garamond"/>
          <w:sz w:val="20"/>
          <w:szCs w:val="20"/>
        </w:rPr>
        <w:t>L</w:t>
      </w:r>
      <w:r w:rsidR="00A16606" w:rsidRPr="00A16606">
        <w:rPr>
          <w:rFonts w:ascii="Garamond" w:hAnsi="Garamond"/>
          <w:sz w:val="20"/>
          <w:szCs w:val="20"/>
        </w:rPr>
        <w:t>a Charte se prête</w:t>
      </w:r>
      <w:r w:rsidR="00825373">
        <w:rPr>
          <w:rFonts w:ascii="Garamond" w:hAnsi="Garamond"/>
          <w:sz w:val="20"/>
          <w:szCs w:val="20"/>
        </w:rPr>
        <w:t xml:space="preserve"> également</w:t>
      </w:r>
      <w:r w:rsidR="00A16606" w:rsidRPr="00A16606">
        <w:rPr>
          <w:rFonts w:ascii="Garamond" w:hAnsi="Garamond"/>
          <w:sz w:val="20"/>
          <w:szCs w:val="20"/>
        </w:rPr>
        <w:t xml:space="preserve"> à une lecture systémique et relationnelle des droits</w:t>
      </w:r>
      <w:r w:rsidR="00A16606">
        <w:rPr>
          <w:rFonts w:ascii="Garamond" w:hAnsi="Garamond"/>
          <w:sz w:val="20"/>
          <w:szCs w:val="20"/>
        </w:rPr>
        <w:t xml:space="preserve">. </w:t>
      </w:r>
      <w:r w:rsidR="00B93759" w:rsidRPr="00A16606">
        <w:rPr>
          <w:rFonts w:ascii="Garamond" w:hAnsi="Garamond"/>
          <w:sz w:val="20"/>
          <w:szCs w:val="20"/>
        </w:rPr>
        <w:t>Le</w:t>
      </w:r>
      <w:r w:rsidR="00A16606" w:rsidRPr="00A16606">
        <w:rPr>
          <w:rFonts w:ascii="Garamond" w:hAnsi="Garamond"/>
          <w:sz w:val="20"/>
          <w:szCs w:val="20"/>
        </w:rPr>
        <w:t xml:space="preserve"> système africain a été traversé par des discours, doctrines et pratiques interprétatives qui ont légitimé une lecture plus collective, et plus systémique des droits ; cette lecture n’est ni purement descriptive, ni unanimement partagée, ni ontologiquement africaine, mais elle a produit des effets juridiques réels.</w:t>
      </w:r>
    </w:p>
    <w:p w14:paraId="12864A69" w14:textId="17EFA609" w:rsidR="00AC7DB9" w:rsidRPr="00A16606" w:rsidRDefault="00AC7DB9" w:rsidP="00A16606">
      <w:pPr>
        <w:rPr>
          <w:rFonts w:ascii="Garamond" w:hAnsi="Garamond"/>
          <w:sz w:val="20"/>
          <w:szCs w:val="20"/>
        </w:rPr>
      </w:pPr>
    </w:p>
    <w:p w14:paraId="5DF13C48" w14:textId="77777777" w:rsidR="00A16606" w:rsidRPr="0034006D" w:rsidRDefault="002B4A33" w:rsidP="0034006D">
      <w:pPr>
        <w:ind w:left="708"/>
        <w:rPr>
          <w:rFonts w:ascii="-webkit-standard" w:hAnsi="-webkit-standard"/>
          <w:i/>
          <w:iCs/>
          <w:color w:val="000000"/>
          <w:sz w:val="27"/>
          <w:szCs w:val="27"/>
        </w:rPr>
      </w:pPr>
      <w:r w:rsidRPr="0034006D">
        <w:rPr>
          <w:i/>
          <w:iCs/>
        </w:rPr>
        <w:t xml:space="preserve">Section 2 — </w:t>
      </w:r>
      <w:r w:rsidR="00A16606" w:rsidRPr="0034006D">
        <w:rPr>
          <w:rFonts w:cs="Times New Roman"/>
          <w:i/>
          <w:iCs/>
          <w:color w:val="000000"/>
          <w:szCs w:val="24"/>
        </w:rPr>
        <w:t xml:space="preserve">Une spécificité sans isolement : comparaison et circulation </w:t>
      </w:r>
      <w:proofErr w:type="spellStart"/>
      <w:r w:rsidR="00A16606" w:rsidRPr="0034006D">
        <w:rPr>
          <w:rFonts w:cs="Times New Roman"/>
          <w:i/>
          <w:iCs/>
          <w:color w:val="000000"/>
          <w:szCs w:val="24"/>
        </w:rPr>
        <w:t>intersystémique</w:t>
      </w:r>
      <w:proofErr w:type="spellEnd"/>
    </w:p>
    <w:p w14:paraId="1FE780CB" w14:textId="27655DD7" w:rsidR="00A16606" w:rsidRPr="0034006D" w:rsidRDefault="00A16606" w:rsidP="00A16606">
      <w:pPr>
        <w:spacing w:after="0"/>
        <w:ind w:left="1416"/>
        <w:rPr>
          <w:sz w:val="20"/>
          <w:szCs w:val="20"/>
        </w:rPr>
      </w:pPr>
      <w:r w:rsidRPr="0034006D">
        <w:rPr>
          <w:sz w:val="20"/>
          <w:szCs w:val="20"/>
        </w:rPr>
        <w:t xml:space="preserve">Sous-section </w:t>
      </w:r>
      <w:r w:rsidR="00AC7DB9" w:rsidRPr="0034006D">
        <w:rPr>
          <w:sz w:val="20"/>
          <w:szCs w:val="20"/>
        </w:rPr>
        <w:t>1</w:t>
      </w:r>
      <w:r w:rsidR="002B4A33" w:rsidRPr="0034006D">
        <w:rPr>
          <w:sz w:val="20"/>
          <w:szCs w:val="20"/>
        </w:rPr>
        <w:t xml:space="preserve">. </w:t>
      </w:r>
      <w:r w:rsidRPr="0034006D">
        <w:rPr>
          <w:sz w:val="20"/>
          <w:szCs w:val="20"/>
        </w:rPr>
        <w:t xml:space="preserve">Les écarts avec les autres régimes régionaux </w:t>
      </w:r>
    </w:p>
    <w:p w14:paraId="36DE250B" w14:textId="77777777" w:rsidR="0034006D" w:rsidRPr="0034006D" w:rsidRDefault="0034006D" w:rsidP="00E82A84">
      <w:pPr>
        <w:spacing w:after="0"/>
        <w:ind w:left="1416"/>
        <w:rPr>
          <w:sz w:val="20"/>
          <w:szCs w:val="20"/>
        </w:rPr>
      </w:pPr>
    </w:p>
    <w:p w14:paraId="5A592B8E" w14:textId="14E8825F" w:rsidR="00A16606" w:rsidRPr="0034006D" w:rsidRDefault="00A16606" w:rsidP="00E82A84">
      <w:pPr>
        <w:spacing w:after="0"/>
        <w:ind w:left="1416"/>
        <w:rPr>
          <w:sz w:val="20"/>
          <w:szCs w:val="20"/>
        </w:rPr>
      </w:pPr>
      <w:r w:rsidRPr="0034006D">
        <w:rPr>
          <w:sz w:val="20"/>
          <w:szCs w:val="20"/>
        </w:rPr>
        <w:t xml:space="preserve">Sous-section </w:t>
      </w:r>
      <w:r w:rsidR="00AC7DB9" w:rsidRPr="0034006D">
        <w:rPr>
          <w:sz w:val="20"/>
          <w:szCs w:val="20"/>
        </w:rPr>
        <w:t xml:space="preserve">2. </w:t>
      </w:r>
      <w:r w:rsidRPr="0034006D">
        <w:rPr>
          <w:sz w:val="20"/>
          <w:szCs w:val="20"/>
        </w:rPr>
        <w:t>Les articles 60 et 61 : distinction sans autarcie</w:t>
      </w:r>
    </w:p>
    <w:p w14:paraId="00D1FBA0" w14:textId="77777777" w:rsidR="00E82A84" w:rsidRPr="00E82A84" w:rsidRDefault="00E82A84" w:rsidP="00E82A84">
      <w:pPr>
        <w:spacing w:after="0"/>
        <w:ind w:left="1416"/>
        <w:rPr>
          <w:szCs w:val="24"/>
        </w:rPr>
      </w:pPr>
    </w:p>
    <w:p w14:paraId="37546392" w14:textId="2FF86392" w:rsidR="005117CB" w:rsidRPr="00A16606" w:rsidRDefault="00A16606" w:rsidP="00A16606">
      <w:pPr>
        <w:rPr>
          <w:rFonts w:ascii="Garamond" w:hAnsi="Garamond"/>
          <w:sz w:val="20"/>
          <w:szCs w:val="20"/>
        </w:rPr>
      </w:pPr>
      <w:r w:rsidRPr="00A16606">
        <w:rPr>
          <w:rFonts w:ascii="Garamond" w:hAnsi="Garamond"/>
          <w:sz w:val="20"/>
          <w:szCs w:val="20"/>
        </w:rPr>
        <w:t xml:space="preserve">=&gt; </w:t>
      </w:r>
      <w:r w:rsidR="00007249">
        <w:rPr>
          <w:rFonts w:ascii="Garamond" w:hAnsi="Garamond"/>
          <w:sz w:val="20"/>
          <w:szCs w:val="20"/>
        </w:rPr>
        <w:t>L</w:t>
      </w:r>
      <w:r w:rsidRPr="00A16606">
        <w:rPr>
          <w:rFonts w:ascii="Garamond" w:hAnsi="Garamond"/>
          <w:sz w:val="20"/>
          <w:szCs w:val="20"/>
        </w:rPr>
        <w:t>a qualification fonctionnelle du peuple infra-étatique a pu émerger comme solution acceptable, pensable et même cohérente dans le système africain</w:t>
      </w:r>
      <w:r w:rsidR="00E82A84">
        <w:rPr>
          <w:rFonts w:ascii="Garamond" w:hAnsi="Garamond"/>
          <w:sz w:val="20"/>
          <w:szCs w:val="20"/>
        </w:rPr>
        <w:t xml:space="preserve"> non seulement parce qu’elle est influencée par les débats sur le droit en Afrique mais également pa</w:t>
      </w:r>
      <w:r w:rsidR="00B93759">
        <w:rPr>
          <w:rFonts w:ascii="Garamond" w:hAnsi="Garamond"/>
          <w:sz w:val="20"/>
          <w:szCs w:val="20"/>
        </w:rPr>
        <w:t>r</w:t>
      </w:r>
      <w:r w:rsidR="00E82A84">
        <w:rPr>
          <w:rFonts w:ascii="Garamond" w:hAnsi="Garamond"/>
          <w:sz w:val="20"/>
          <w:szCs w:val="20"/>
        </w:rPr>
        <w:t xml:space="preserve"> un positionnement stratégique vis-à-vis des autres systèmes de protection. Mais les conditions de son déploiement sont également les conditions de compréhension du régime. Autrement dit, il ne s’agit pas seulement de justifier l’apparition du régime mais également de délivrer les clés de compréhension du régime. </w:t>
      </w:r>
      <w:r w:rsidR="00B93759">
        <w:rPr>
          <w:rFonts w:ascii="Garamond" w:hAnsi="Garamond"/>
          <w:sz w:val="20"/>
          <w:szCs w:val="20"/>
        </w:rPr>
        <w:t xml:space="preserve">L’identité complexe, la notion de protection systémique, ou le positionnement vis-à-vis des autres systèmes structurent en profondeur l’analyse dans la partie 2. </w:t>
      </w:r>
    </w:p>
    <w:p w14:paraId="74D965AF" w14:textId="77777777" w:rsidR="00186770" w:rsidRDefault="00186770" w:rsidP="005117CB">
      <w:pPr>
        <w:jc w:val="center"/>
      </w:pPr>
    </w:p>
    <w:p w14:paraId="2F73848E" w14:textId="056AFF86" w:rsidR="00884C56" w:rsidRPr="00186770" w:rsidRDefault="00884C56" w:rsidP="005117CB">
      <w:pPr>
        <w:jc w:val="center"/>
        <w:rPr>
          <w:u w:val="single"/>
        </w:rPr>
      </w:pPr>
      <w:r w:rsidRPr="00186770">
        <w:rPr>
          <w:u w:val="single"/>
        </w:rPr>
        <w:t xml:space="preserve">Partie </w:t>
      </w:r>
      <w:r w:rsidR="00542A8F" w:rsidRPr="00186770">
        <w:rPr>
          <w:u w:val="single"/>
        </w:rPr>
        <w:t xml:space="preserve">II – </w:t>
      </w:r>
      <w:r w:rsidRPr="00186770">
        <w:rPr>
          <w:u w:val="single"/>
        </w:rPr>
        <w:t>Le régime des peuples infra-étatique par ses fins</w:t>
      </w:r>
    </w:p>
    <w:p w14:paraId="616A0556" w14:textId="77777777" w:rsidR="00186770" w:rsidRDefault="00186770"/>
    <w:p w14:paraId="369BB06C" w14:textId="531ED8A5" w:rsidR="00542A8F" w:rsidRDefault="00884C56" w:rsidP="00186770">
      <w:pPr>
        <w:jc w:val="center"/>
      </w:pPr>
      <w:r>
        <w:t>Titre 1</w:t>
      </w:r>
      <w:r w:rsidR="00542A8F">
        <w:t xml:space="preserve"> – faire vivre les identités complexe</w:t>
      </w:r>
      <w:r>
        <w:t>s</w:t>
      </w:r>
      <w:r w:rsidR="00542A8F">
        <w:t xml:space="preserve"> comme fin téléologique du régime</w:t>
      </w:r>
    </w:p>
    <w:p w14:paraId="4F489C46" w14:textId="77777777" w:rsidR="00186770" w:rsidRDefault="00186770" w:rsidP="00186770">
      <w:pPr>
        <w:jc w:val="center"/>
      </w:pPr>
    </w:p>
    <w:p w14:paraId="3FB66696" w14:textId="359D0B3F" w:rsidR="00542A8F" w:rsidRPr="00186770" w:rsidRDefault="00884C56" w:rsidP="00186770">
      <w:pPr>
        <w:rPr>
          <w:u w:val="single"/>
        </w:rPr>
      </w:pPr>
      <w:r w:rsidRPr="00186770">
        <w:rPr>
          <w:u w:val="single"/>
        </w:rPr>
        <w:t>Chap</w:t>
      </w:r>
      <w:r w:rsidR="00186770">
        <w:rPr>
          <w:u w:val="single"/>
        </w:rPr>
        <w:t>itre</w:t>
      </w:r>
      <w:r w:rsidRPr="00186770">
        <w:rPr>
          <w:u w:val="single"/>
        </w:rPr>
        <w:t xml:space="preserve"> 5 </w:t>
      </w:r>
      <w:r w:rsidR="00542A8F" w:rsidRPr="00186770">
        <w:rPr>
          <w:u w:val="single"/>
        </w:rPr>
        <w:t>° la difficile question de la place de l’article 20(1) et de l’autodétermination. L’avènement d’un droit à l’existence</w:t>
      </w:r>
    </w:p>
    <w:p w14:paraId="5E97EBDD" w14:textId="77777777" w:rsidR="00884C56" w:rsidRDefault="00884C56" w:rsidP="00884C56">
      <w:pPr>
        <w:ind w:left="708"/>
      </w:pPr>
    </w:p>
    <w:p w14:paraId="58435524" w14:textId="4CFFBABE" w:rsidR="00542A8F" w:rsidRPr="00186770" w:rsidRDefault="00884C56" w:rsidP="00186770">
      <w:pPr>
        <w:rPr>
          <w:u w:val="single"/>
        </w:rPr>
      </w:pPr>
      <w:r w:rsidRPr="00186770">
        <w:rPr>
          <w:u w:val="single"/>
        </w:rPr>
        <w:lastRenderedPageBreak/>
        <w:t>Chap</w:t>
      </w:r>
      <w:r w:rsidR="00186770">
        <w:rPr>
          <w:u w:val="single"/>
        </w:rPr>
        <w:t>itre</w:t>
      </w:r>
      <w:r w:rsidRPr="00186770">
        <w:rPr>
          <w:u w:val="single"/>
        </w:rPr>
        <w:t xml:space="preserve"> 6</w:t>
      </w:r>
      <w:r w:rsidR="00542A8F" w:rsidRPr="00186770">
        <w:rPr>
          <w:u w:val="single"/>
        </w:rPr>
        <w:t xml:space="preserve">° entre participation et autonomie, la difficile déconstruction du modèle </w:t>
      </w:r>
      <w:proofErr w:type="spellStart"/>
      <w:r w:rsidR="00542A8F" w:rsidRPr="00186770">
        <w:rPr>
          <w:u w:val="single"/>
        </w:rPr>
        <w:t>stato</w:t>
      </w:r>
      <w:proofErr w:type="spellEnd"/>
      <w:r w:rsidR="00542A8F" w:rsidRPr="00186770">
        <w:rPr>
          <w:u w:val="single"/>
        </w:rPr>
        <w:t>-national pour la réalisation des identités complexes (art.13)</w:t>
      </w:r>
    </w:p>
    <w:p w14:paraId="149CA749" w14:textId="77777777" w:rsidR="00884C56" w:rsidRDefault="00884C56" w:rsidP="00884C56">
      <w:pPr>
        <w:ind w:left="708"/>
      </w:pPr>
    </w:p>
    <w:p w14:paraId="12689F7C" w14:textId="7694AF59" w:rsidR="00542A8F" w:rsidRDefault="00884C56" w:rsidP="00186770">
      <w:pPr>
        <w:jc w:val="center"/>
      </w:pPr>
      <w:r>
        <w:t>Titre 2 –</w:t>
      </w:r>
      <w:r w:rsidR="00542A8F">
        <w:t xml:space="preserve"> protéger </w:t>
      </w:r>
      <w:r w:rsidR="005E61C9">
        <w:t>plutôt que libéraliser, l</w:t>
      </w:r>
      <w:r w:rsidR="00A0528A">
        <w:t>e</w:t>
      </w:r>
      <w:r w:rsidR="005E61C9">
        <w:t xml:space="preserve"> </w:t>
      </w:r>
      <w:r w:rsidR="00186770">
        <w:t>collectif</w:t>
      </w:r>
      <w:r w:rsidR="005E61C9">
        <w:t xml:space="preserve"> comme système et comme fin</w:t>
      </w:r>
    </w:p>
    <w:p w14:paraId="4D8568C9" w14:textId="77777777" w:rsidR="00186770" w:rsidRDefault="00186770" w:rsidP="00186770">
      <w:pPr>
        <w:jc w:val="center"/>
      </w:pPr>
    </w:p>
    <w:p w14:paraId="69F9AC25" w14:textId="31CD8A18" w:rsidR="00542A8F" w:rsidRPr="00186770" w:rsidRDefault="00884C56" w:rsidP="00186770">
      <w:pPr>
        <w:rPr>
          <w:u w:val="single"/>
        </w:rPr>
      </w:pPr>
      <w:r w:rsidRPr="00186770">
        <w:rPr>
          <w:u w:val="single"/>
        </w:rPr>
        <w:t>Chap</w:t>
      </w:r>
      <w:r w:rsidR="00186770" w:rsidRPr="00186770">
        <w:rPr>
          <w:u w:val="single"/>
        </w:rPr>
        <w:t>itre</w:t>
      </w:r>
      <w:r w:rsidRPr="00186770">
        <w:rPr>
          <w:u w:val="single"/>
        </w:rPr>
        <w:t xml:space="preserve"> 7</w:t>
      </w:r>
      <w:r w:rsidR="00542A8F" w:rsidRPr="00186770">
        <w:rPr>
          <w:u w:val="single"/>
        </w:rPr>
        <w:t>°</w:t>
      </w:r>
      <w:r w:rsidR="007E23FE" w:rsidRPr="00186770">
        <w:rPr>
          <w:u w:val="single"/>
        </w:rPr>
        <w:t xml:space="preserve"> protéger les ressources et le vivant (art.24 + TTR etc.)</w:t>
      </w:r>
    </w:p>
    <w:p w14:paraId="70443636" w14:textId="77777777" w:rsidR="00884C56" w:rsidRPr="00186770" w:rsidRDefault="00884C56" w:rsidP="00884C56">
      <w:pPr>
        <w:ind w:firstLine="708"/>
        <w:rPr>
          <w:u w:val="single"/>
        </w:rPr>
      </w:pPr>
    </w:p>
    <w:p w14:paraId="2E058FC0" w14:textId="609D123A" w:rsidR="00542A8F" w:rsidRDefault="00884C56" w:rsidP="00186770">
      <w:r w:rsidRPr="00186770">
        <w:rPr>
          <w:u w:val="single"/>
        </w:rPr>
        <w:t>Chap</w:t>
      </w:r>
      <w:r w:rsidR="00186770" w:rsidRPr="00186770">
        <w:rPr>
          <w:u w:val="single"/>
        </w:rPr>
        <w:t>itre</w:t>
      </w:r>
      <w:r w:rsidRPr="00186770">
        <w:rPr>
          <w:u w:val="single"/>
        </w:rPr>
        <w:t xml:space="preserve"> 8</w:t>
      </w:r>
      <w:r w:rsidR="00542A8F" w:rsidRPr="00186770">
        <w:rPr>
          <w:u w:val="single"/>
        </w:rPr>
        <w:t>°</w:t>
      </w:r>
      <w:r w:rsidR="007E23FE" w:rsidRPr="00186770">
        <w:rPr>
          <w:u w:val="single"/>
        </w:rPr>
        <w:t xml:space="preserve"> protéger les cultures</w:t>
      </w:r>
      <w:r w:rsidR="007E23FE">
        <w:t>.</w:t>
      </w:r>
    </w:p>
    <w:p w14:paraId="435CBE7A" w14:textId="77777777" w:rsidR="002D591E" w:rsidRDefault="002D591E" w:rsidP="002D591E">
      <w:pPr>
        <w:pBdr>
          <w:bottom w:val="single" w:sz="6" w:space="1" w:color="auto"/>
        </w:pBdr>
      </w:pPr>
    </w:p>
    <w:p w14:paraId="386DD401" w14:textId="77777777" w:rsidR="002D591E" w:rsidRDefault="002D591E" w:rsidP="002D591E"/>
    <w:p w14:paraId="66B9B8CA" w14:textId="667AFA29" w:rsidR="002D591E" w:rsidRDefault="002D591E" w:rsidP="000C0D61"/>
    <w:sectPr w:rsidR="002D591E" w:rsidSect="000F7447">
      <w:type w:val="continuous"/>
      <w:pgSz w:w="11900" w:h="16850"/>
      <w:pgMar w:top="1417" w:right="1417" w:bottom="1417" w:left="1417" w:header="720" w:footer="720" w:gutter="0"/>
      <w:cols w:space="720" w:equalWidth="0">
        <w:col w:w="9406"/>
      </w:cols>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567E"/>
    <w:multiLevelType w:val="multilevel"/>
    <w:tmpl w:val="BA5E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E12E5"/>
    <w:multiLevelType w:val="multilevel"/>
    <w:tmpl w:val="371C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4760E"/>
    <w:multiLevelType w:val="multilevel"/>
    <w:tmpl w:val="8C5A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A097F"/>
    <w:multiLevelType w:val="multilevel"/>
    <w:tmpl w:val="E426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715026">
    <w:abstractNumId w:val="3"/>
  </w:num>
  <w:num w:numId="2" w16cid:durableId="1117523832">
    <w:abstractNumId w:val="2"/>
  </w:num>
  <w:num w:numId="3" w16cid:durableId="210656358">
    <w:abstractNumId w:val="1"/>
  </w:num>
  <w:num w:numId="4" w16cid:durableId="400955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8F"/>
    <w:rsid w:val="00001D72"/>
    <w:rsid w:val="00007249"/>
    <w:rsid w:val="00007CA2"/>
    <w:rsid w:val="00022FF1"/>
    <w:rsid w:val="000648DE"/>
    <w:rsid w:val="000B3074"/>
    <w:rsid w:val="000C0D61"/>
    <w:rsid w:val="000F15D0"/>
    <w:rsid w:val="000F7447"/>
    <w:rsid w:val="001859F4"/>
    <w:rsid w:val="00186770"/>
    <w:rsid w:val="001A3299"/>
    <w:rsid w:val="001C604B"/>
    <w:rsid w:val="00211C63"/>
    <w:rsid w:val="00226E3D"/>
    <w:rsid w:val="0026683E"/>
    <w:rsid w:val="00273598"/>
    <w:rsid w:val="002851DB"/>
    <w:rsid w:val="00286268"/>
    <w:rsid w:val="002B4A33"/>
    <w:rsid w:val="002B6B23"/>
    <w:rsid w:val="002D591E"/>
    <w:rsid w:val="0034006D"/>
    <w:rsid w:val="00345C4C"/>
    <w:rsid w:val="00390512"/>
    <w:rsid w:val="004306A8"/>
    <w:rsid w:val="00480F58"/>
    <w:rsid w:val="004E0E5E"/>
    <w:rsid w:val="00505A7C"/>
    <w:rsid w:val="005117CB"/>
    <w:rsid w:val="005376C2"/>
    <w:rsid w:val="00542A8F"/>
    <w:rsid w:val="00572B16"/>
    <w:rsid w:val="005A0394"/>
    <w:rsid w:val="005B2987"/>
    <w:rsid w:val="005D33D3"/>
    <w:rsid w:val="005E5EB6"/>
    <w:rsid w:val="005E61C9"/>
    <w:rsid w:val="00673170"/>
    <w:rsid w:val="006B4261"/>
    <w:rsid w:val="006B5332"/>
    <w:rsid w:val="006C71FC"/>
    <w:rsid w:val="006F742C"/>
    <w:rsid w:val="007073E8"/>
    <w:rsid w:val="007E23FE"/>
    <w:rsid w:val="007F4ED1"/>
    <w:rsid w:val="0080386C"/>
    <w:rsid w:val="00825373"/>
    <w:rsid w:val="00851B78"/>
    <w:rsid w:val="00853754"/>
    <w:rsid w:val="008601DF"/>
    <w:rsid w:val="00884C56"/>
    <w:rsid w:val="008B3A32"/>
    <w:rsid w:val="008C5FA3"/>
    <w:rsid w:val="008E4D6E"/>
    <w:rsid w:val="008F2E7A"/>
    <w:rsid w:val="009033DD"/>
    <w:rsid w:val="00932C93"/>
    <w:rsid w:val="00936BDA"/>
    <w:rsid w:val="009F633D"/>
    <w:rsid w:val="009F78FF"/>
    <w:rsid w:val="00A0528A"/>
    <w:rsid w:val="00A14F4B"/>
    <w:rsid w:val="00A16606"/>
    <w:rsid w:val="00A60DBE"/>
    <w:rsid w:val="00AC435C"/>
    <w:rsid w:val="00AC7DB9"/>
    <w:rsid w:val="00AD4460"/>
    <w:rsid w:val="00AE7F70"/>
    <w:rsid w:val="00B73DCD"/>
    <w:rsid w:val="00B93759"/>
    <w:rsid w:val="00BD3D8F"/>
    <w:rsid w:val="00BE372F"/>
    <w:rsid w:val="00C2036A"/>
    <w:rsid w:val="00C25284"/>
    <w:rsid w:val="00C37082"/>
    <w:rsid w:val="00C62CFE"/>
    <w:rsid w:val="00C853FE"/>
    <w:rsid w:val="00D10EE2"/>
    <w:rsid w:val="00D20916"/>
    <w:rsid w:val="00D47A8E"/>
    <w:rsid w:val="00D56C13"/>
    <w:rsid w:val="00D61AC4"/>
    <w:rsid w:val="00D9107F"/>
    <w:rsid w:val="00DB4220"/>
    <w:rsid w:val="00DC7F39"/>
    <w:rsid w:val="00DD3EFF"/>
    <w:rsid w:val="00E62A90"/>
    <w:rsid w:val="00E7155C"/>
    <w:rsid w:val="00E739A0"/>
    <w:rsid w:val="00E82A84"/>
    <w:rsid w:val="00E85BBB"/>
    <w:rsid w:val="00EC0284"/>
    <w:rsid w:val="00EE1DF5"/>
    <w:rsid w:val="00F21810"/>
    <w:rsid w:val="00F406ED"/>
    <w:rsid w:val="00FA25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57D1"/>
  <w15:chartTrackingRefBased/>
  <w15:docId w15:val="{4FCF2696-7787-8843-85DA-27C7C3DC9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DB9"/>
    <w:pPr>
      <w:jc w:val="both"/>
    </w:pPr>
    <w:rPr>
      <w:rFonts w:ascii="Times New Roman" w:hAnsi="Times New Roman"/>
      <w:szCs w:val="22"/>
    </w:rPr>
  </w:style>
  <w:style w:type="paragraph" w:styleId="Titre1">
    <w:name w:val="heading 1"/>
    <w:basedOn w:val="Normal"/>
    <w:next w:val="Normal"/>
    <w:link w:val="Titre1Car"/>
    <w:uiPriority w:val="9"/>
    <w:qFormat/>
    <w:rsid w:val="00BD3D8F"/>
    <w:pPr>
      <w:keepNext/>
      <w:keepLines/>
      <w:spacing w:before="360"/>
      <w:jc w:val="center"/>
      <w:outlineLvl w:val="0"/>
    </w:pPr>
    <w:rPr>
      <w:rFonts w:eastAsiaTheme="majorEastAsia" w:cstheme="majorBidi"/>
      <w:color w:val="000000" w:themeColor="text1"/>
      <w:sz w:val="48"/>
      <w:szCs w:val="40"/>
      <w:u w:val="single"/>
    </w:rPr>
  </w:style>
  <w:style w:type="paragraph" w:styleId="Titre2">
    <w:name w:val="heading 2"/>
    <w:basedOn w:val="Normal"/>
    <w:next w:val="Normal"/>
    <w:link w:val="Titre2Car"/>
    <w:uiPriority w:val="9"/>
    <w:semiHidden/>
    <w:unhideWhenUsed/>
    <w:qFormat/>
    <w:rsid w:val="00542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42A8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semiHidden/>
    <w:unhideWhenUsed/>
    <w:qFormat/>
    <w:rsid w:val="005E5EB6"/>
    <w:pPr>
      <w:keepNext/>
      <w:spacing w:after="0" w:line="240" w:lineRule="auto"/>
      <w:jc w:val="center"/>
      <w:outlineLvl w:val="3"/>
    </w:pPr>
    <w:rPr>
      <w:rFonts w:eastAsia="Times New Roman" w:cs="Times New Roman"/>
      <w:b/>
      <w:sz w:val="32"/>
      <w:szCs w:val="20"/>
      <w:lang w:eastAsia="fr-FR"/>
    </w:rPr>
  </w:style>
  <w:style w:type="paragraph" w:styleId="Titre5">
    <w:name w:val="heading 5"/>
    <w:basedOn w:val="Normal"/>
    <w:next w:val="Normal"/>
    <w:link w:val="Titre5Car"/>
    <w:uiPriority w:val="9"/>
    <w:semiHidden/>
    <w:unhideWhenUsed/>
    <w:qFormat/>
    <w:rsid w:val="00542A8F"/>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542A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542A8F"/>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542A8F"/>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semiHidden/>
    <w:unhideWhenUsed/>
    <w:qFormat/>
    <w:rsid w:val="005E5EB6"/>
    <w:pPr>
      <w:keepNext/>
      <w:spacing w:after="0" w:line="240" w:lineRule="auto"/>
      <w:jc w:val="right"/>
      <w:outlineLvl w:val="8"/>
    </w:pPr>
    <w:rPr>
      <w:rFonts w:ascii="Times" w:eastAsia="Times New Roman" w:hAnsi="Times" w:cs="Times New Roman"/>
      <w:sz w:val="2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semiHidden/>
    <w:rsid w:val="005E5EB6"/>
    <w:rPr>
      <w:rFonts w:ascii="Times New Roman" w:eastAsia="Times New Roman" w:hAnsi="Times New Roman" w:cs="Times New Roman"/>
      <w:b/>
      <w:sz w:val="32"/>
      <w:szCs w:val="20"/>
      <w:lang w:eastAsia="fr-FR"/>
    </w:rPr>
  </w:style>
  <w:style w:type="character" w:customStyle="1" w:styleId="Titre9Car">
    <w:name w:val="Titre 9 Car"/>
    <w:basedOn w:val="Policepardfaut"/>
    <w:link w:val="Titre9"/>
    <w:semiHidden/>
    <w:rsid w:val="005E5EB6"/>
    <w:rPr>
      <w:rFonts w:ascii="Times" w:eastAsia="Times New Roman" w:hAnsi="Times" w:cs="Times New Roman"/>
      <w:sz w:val="28"/>
      <w:szCs w:val="20"/>
      <w:lang w:eastAsia="fr-FR"/>
    </w:rPr>
  </w:style>
  <w:style w:type="paragraph" w:styleId="Sansinterligne">
    <w:name w:val="No Spacing"/>
    <w:uiPriority w:val="1"/>
    <w:qFormat/>
    <w:rsid w:val="005E5EB6"/>
    <w:rPr>
      <w:sz w:val="22"/>
      <w:szCs w:val="22"/>
    </w:rPr>
  </w:style>
  <w:style w:type="paragraph" w:styleId="Paragraphedeliste">
    <w:name w:val="List Paragraph"/>
    <w:basedOn w:val="Normal"/>
    <w:uiPriority w:val="34"/>
    <w:qFormat/>
    <w:rsid w:val="005E5EB6"/>
    <w:pPr>
      <w:ind w:left="720"/>
      <w:contextualSpacing/>
    </w:pPr>
  </w:style>
  <w:style w:type="character" w:customStyle="1" w:styleId="Titre1Car">
    <w:name w:val="Titre 1 Car"/>
    <w:basedOn w:val="Policepardfaut"/>
    <w:link w:val="Titre1"/>
    <w:uiPriority w:val="9"/>
    <w:rsid w:val="00BD3D8F"/>
    <w:rPr>
      <w:rFonts w:ascii="Times New Roman" w:eastAsiaTheme="majorEastAsia" w:hAnsi="Times New Roman" w:cstheme="majorBidi"/>
      <w:color w:val="000000" w:themeColor="text1"/>
      <w:sz w:val="48"/>
      <w:szCs w:val="40"/>
      <w:u w:val="single"/>
    </w:rPr>
  </w:style>
  <w:style w:type="character" w:customStyle="1" w:styleId="Titre2Car">
    <w:name w:val="Titre 2 Car"/>
    <w:basedOn w:val="Policepardfaut"/>
    <w:link w:val="Titre2"/>
    <w:uiPriority w:val="9"/>
    <w:semiHidden/>
    <w:rsid w:val="00542A8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42A8F"/>
    <w:rPr>
      <w:rFonts w:eastAsiaTheme="majorEastAsia" w:cstheme="majorBidi"/>
      <w:color w:val="0F4761" w:themeColor="accent1" w:themeShade="BF"/>
      <w:sz w:val="28"/>
      <w:szCs w:val="28"/>
    </w:rPr>
  </w:style>
  <w:style w:type="character" w:customStyle="1" w:styleId="Titre5Car">
    <w:name w:val="Titre 5 Car"/>
    <w:basedOn w:val="Policepardfaut"/>
    <w:link w:val="Titre5"/>
    <w:uiPriority w:val="9"/>
    <w:semiHidden/>
    <w:rsid w:val="00542A8F"/>
    <w:rPr>
      <w:rFonts w:eastAsiaTheme="majorEastAsia" w:cstheme="majorBidi"/>
      <w:color w:val="0F4761" w:themeColor="accent1" w:themeShade="BF"/>
      <w:szCs w:val="22"/>
    </w:rPr>
  </w:style>
  <w:style w:type="character" w:customStyle="1" w:styleId="Titre6Car">
    <w:name w:val="Titre 6 Car"/>
    <w:basedOn w:val="Policepardfaut"/>
    <w:link w:val="Titre6"/>
    <w:uiPriority w:val="9"/>
    <w:semiHidden/>
    <w:rsid w:val="00542A8F"/>
    <w:rPr>
      <w:rFonts w:eastAsiaTheme="majorEastAsia" w:cstheme="majorBidi"/>
      <w:i/>
      <w:iCs/>
      <w:color w:val="595959" w:themeColor="text1" w:themeTint="A6"/>
      <w:szCs w:val="22"/>
    </w:rPr>
  </w:style>
  <w:style w:type="character" w:customStyle="1" w:styleId="Titre7Car">
    <w:name w:val="Titre 7 Car"/>
    <w:basedOn w:val="Policepardfaut"/>
    <w:link w:val="Titre7"/>
    <w:uiPriority w:val="9"/>
    <w:semiHidden/>
    <w:rsid w:val="00542A8F"/>
    <w:rPr>
      <w:rFonts w:eastAsiaTheme="majorEastAsia" w:cstheme="majorBidi"/>
      <w:color w:val="595959" w:themeColor="text1" w:themeTint="A6"/>
      <w:szCs w:val="22"/>
    </w:rPr>
  </w:style>
  <w:style w:type="character" w:customStyle="1" w:styleId="Titre8Car">
    <w:name w:val="Titre 8 Car"/>
    <w:basedOn w:val="Policepardfaut"/>
    <w:link w:val="Titre8"/>
    <w:uiPriority w:val="9"/>
    <w:semiHidden/>
    <w:rsid w:val="00542A8F"/>
    <w:rPr>
      <w:rFonts w:eastAsiaTheme="majorEastAsia" w:cstheme="majorBidi"/>
      <w:i/>
      <w:iCs/>
      <w:color w:val="272727" w:themeColor="text1" w:themeTint="D8"/>
      <w:szCs w:val="22"/>
    </w:rPr>
  </w:style>
  <w:style w:type="paragraph" w:styleId="Titre">
    <w:name w:val="Title"/>
    <w:basedOn w:val="Normal"/>
    <w:next w:val="Normal"/>
    <w:link w:val="TitreCar"/>
    <w:uiPriority w:val="10"/>
    <w:qFormat/>
    <w:rsid w:val="00542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2A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2A8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2A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2A8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42A8F"/>
    <w:rPr>
      <w:rFonts w:ascii="Times New Roman" w:hAnsi="Times New Roman"/>
      <w:i/>
      <w:iCs/>
      <w:color w:val="404040" w:themeColor="text1" w:themeTint="BF"/>
      <w:szCs w:val="22"/>
    </w:rPr>
  </w:style>
  <w:style w:type="character" w:styleId="Accentuationintense">
    <w:name w:val="Intense Emphasis"/>
    <w:basedOn w:val="Policepardfaut"/>
    <w:uiPriority w:val="21"/>
    <w:qFormat/>
    <w:rsid w:val="00542A8F"/>
    <w:rPr>
      <w:i/>
      <w:iCs/>
      <w:color w:val="0F4761" w:themeColor="accent1" w:themeShade="BF"/>
    </w:rPr>
  </w:style>
  <w:style w:type="paragraph" w:styleId="Citationintense">
    <w:name w:val="Intense Quote"/>
    <w:basedOn w:val="Normal"/>
    <w:next w:val="Normal"/>
    <w:link w:val="CitationintenseCar"/>
    <w:uiPriority w:val="30"/>
    <w:qFormat/>
    <w:rsid w:val="00542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42A8F"/>
    <w:rPr>
      <w:rFonts w:ascii="Times New Roman" w:hAnsi="Times New Roman"/>
      <w:i/>
      <w:iCs/>
      <w:color w:val="0F4761" w:themeColor="accent1" w:themeShade="BF"/>
      <w:szCs w:val="22"/>
    </w:rPr>
  </w:style>
  <w:style w:type="character" w:styleId="Rfrenceintense">
    <w:name w:val="Intense Reference"/>
    <w:basedOn w:val="Policepardfaut"/>
    <w:uiPriority w:val="32"/>
    <w:qFormat/>
    <w:rsid w:val="00542A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12611</TotalTime>
  <Pages>4</Pages>
  <Words>1297</Words>
  <Characters>6849</Characters>
  <Application>Microsoft Office Word</Application>
  <DocSecurity>0</DocSecurity>
  <Lines>108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Decroix</dc:creator>
  <cp:keywords/>
  <dc:description/>
  <cp:lastModifiedBy>Alexandre Decroix</cp:lastModifiedBy>
  <cp:revision>45</cp:revision>
  <dcterms:created xsi:type="dcterms:W3CDTF">2026-01-08T10:56:00Z</dcterms:created>
  <dcterms:modified xsi:type="dcterms:W3CDTF">2026-03-10T12:45:00Z</dcterms:modified>
</cp:coreProperties>
</file>