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865E4" w14:textId="4E421116" w:rsidR="00CB1937" w:rsidRPr="00523EED" w:rsidRDefault="00CB1937" w:rsidP="00804D07">
      <w:pPr>
        <w:spacing w:line="240" w:lineRule="auto"/>
        <w:rPr>
          <w:b/>
          <w:bCs/>
          <w:u w:val="single"/>
        </w:rPr>
      </w:pPr>
      <w:r w:rsidRPr="00523EED">
        <w:rPr>
          <w:b/>
          <w:bCs/>
          <w:u w:val="single"/>
        </w:rPr>
        <w:t>76</w:t>
      </w:r>
      <w:r w:rsidR="00435452" w:rsidRPr="00435452">
        <w:rPr>
          <w:b/>
          <w:bCs/>
          <w:u w:val="single"/>
          <w:vertAlign w:val="superscript"/>
        </w:rPr>
        <w:t>ème</w:t>
      </w:r>
      <w:r w:rsidR="00435452">
        <w:rPr>
          <w:b/>
          <w:bCs/>
          <w:u w:val="single"/>
        </w:rPr>
        <w:t xml:space="preserve"> session ordinaire </w:t>
      </w:r>
    </w:p>
    <w:p w14:paraId="0209BA8B" w14:textId="54678A02" w:rsidR="00CB1937" w:rsidRDefault="00D27901" w:rsidP="00804D07">
      <w:pPr>
        <w:spacing w:line="240" w:lineRule="auto"/>
        <w:rPr>
          <w:u w:val="single"/>
        </w:rPr>
      </w:pPr>
      <w:hyperlink r:id="rId8" w:history="1">
        <w:r w:rsidRPr="00D27901">
          <w:rPr>
            <w:rStyle w:val="Lienhypertexte"/>
          </w:rPr>
          <w:t>Déci</w:t>
        </w:r>
        <w:r w:rsidRPr="00D27901">
          <w:rPr>
            <w:rStyle w:val="Lienhypertexte"/>
          </w:rPr>
          <w:t>s</w:t>
        </w:r>
        <w:r w:rsidRPr="00D27901">
          <w:rPr>
            <w:rStyle w:val="Lienhypertexte"/>
          </w:rPr>
          <w:t xml:space="preserve">ion, </w:t>
        </w:r>
        <w:r w:rsidR="00CB1937" w:rsidRPr="00D27901">
          <w:rPr>
            <w:rStyle w:val="Lienhypertexte"/>
            <w:i/>
            <w:iCs/>
          </w:rPr>
          <w:t>Three Jehovah's Witnesses (Represented by Lawyers Associated for Human Rights in Africa) v. The State of Eritrea</w:t>
        </w:r>
        <w:r w:rsidR="00CB1937" w:rsidRPr="00D27901">
          <w:rPr>
            <w:rStyle w:val="Lienhypertexte"/>
          </w:rPr>
          <w:t>, 4 nov</w:t>
        </w:r>
        <w:r w:rsidRPr="00D27901">
          <w:rPr>
            <w:rStyle w:val="Lienhypertexte"/>
          </w:rPr>
          <w:t>embre</w:t>
        </w:r>
        <w:r w:rsidR="00CB1937" w:rsidRPr="00D27901">
          <w:rPr>
            <w:rStyle w:val="Lienhypertexte"/>
          </w:rPr>
          <w:t xml:space="preserve"> 2025,</w:t>
        </w:r>
        <w:r w:rsidRPr="00D27901">
          <w:rPr>
            <w:rStyle w:val="Lienhypertexte"/>
          </w:rPr>
          <w:t xml:space="preserve"> fond, </w:t>
        </w:r>
        <w:r w:rsidRPr="00D27901">
          <w:rPr>
            <w:rStyle w:val="Lienhypertexte"/>
          </w:rPr>
          <w:t>Communication 716/19</w:t>
        </w:r>
        <w:r w:rsidRPr="00D27901">
          <w:rPr>
            <w:rStyle w:val="Lienhypertexte"/>
          </w:rPr>
          <w:t>.</w:t>
        </w:r>
      </w:hyperlink>
    </w:p>
    <w:p w14:paraId="0F0BDF92" w14:textId="0ABADECD" w:rsidR="002E1777" w:rsidRDefault="001F4AF4" w:rsidP="00804D07">
      <w:pPr>
        <w:spacing w:line="240" w:lineRule="auto"/>
      </w:pPr>
      <w:r w:rsidRPr="001F4AF4">
        <w:t>Le plaignant affirme que les victimes ont été arrêtées par des militaires le 17 septembre 1994. Les membres de leur famille n'ont pu leur rendre visite que de manière limitée, par des voies non officielles.</w:t>
      </w:r>
      <w:r w:rsidR="00E726C2">
        <w:t xml:space="preserve"> La communication allègue que les victimes ont été exposées à des actes de torture ainsi qu</w:t>
      </w:r>
      <w:r w:rsidR="00C34DB0">
        <w:t>’à</w:t>
      </w:r>
      <w:r w:rsidR="00E726C2">
        <w:t xml:space="preserve"> des traitements cruels, inhumains ou dégradants, comme </w:t>
      </w:r>
      <w:r>
        <w:t xml:space="preserve">des simulacres </w:t>
      </w:r>
      <w:r w:rsidR="00E726C2">
        <w:t>d’exécution ou des privations d’eau et de nourriture, sans possibilité d’accéder à un juge.</w:t>
      </w:r>
    </w:p>
    <w:p w14:paraId="10142CB9" w14:textId="22CBE4B8" w:rsidR="001F4AF4" w:rsidRPr="00E032EE" w:rsidRDefault="00E032EE" w:rsidP="00804D07">
      <w:pPr>
        <w:spacing w:line="240" w:lineRule="auto"/>
      </w:pPr>
      <w:r>
        <w:t>Étudiant en premier lieu l’admissibilité de la communication</w:t>
      </w:r>
      <w:r w:rsidR="00703E3B">
        <w:t>,</w:t>
      </w:r>
      <w:r>
        <w:t xml:space="preserve"> la Commission a rappelé que sa compétence est </w:t>
      </w:r>
      <w:r w:rsidR="00A02FDA">
        <w:t>limitée</w:t>
      </w:r>
      <w:r>
        <w:t xml:space="preserve"> aux violations ayant eu lieu après l’entrée en vigueur de la Charte et </w:t>
      </w:r>
      <w:r w:rsidR="00C34DB0">
        <w:t xml:space="preserve">trois </w:t>
      </w:r>
      <w:r>
        <w:t xml:space="preserve">mois après que l’État défendeur </w:t>
      </w:r>
      <w:r w:rsidR="00C34DB0">
        <w:t>a</w:t>
      </w:r>
      <w:r>
        <w:t xml:space="preserve"> déposé son instrument de ratification. Néanmoins, mentionnant sa décision </w:t>
      </w:r>
      <w:r>
        <w:rPr>
          <w:i/>
          <w:iCs/>
        </w:rPr>
        <w:t>Gunme c. Cameroun</w:t>
      </w:r>
      <w:r>
        <w:t xml:space="preserve">, la Commission rappelle </w:t>
      </w:r>
      <w:r w:rsidRPr="00E032EE">
        <w:t>le principe selon lequel les violations commises avant l'entrée en vigueur de la Charte</w:t>
      </w:r>
      <w:r w:rsidR="00703E3B">
        <w:t xml:space="preserve"> </w:t>
      </w:r>
      <w:r w:rsidRPr="00E032EE">
        <w:t xml:space="preserve">à l'égard d'un État partie, sont considérées comme relevant de </w:t>
      </w:r>
      <w:r>
        <w:t>s</w:t>
      </w:r>
      <w:r w:rsidRPr="00E032EE">
        <w:t xml:space="preserve">a compétence </w:t>
      </w:r>
      <w:r w:rsidRPr="00E032EE">
        <w:rPr>
          <w:i/>
          <w:iCs/>
        </w:rPr>
        <w:t>ratione temporis</w:t>
      </w:r>
      <w:r w:rsidRPr="00E032EE">
        <w:t>, si elles se poursuivent après l'entrée en vigueur de la Charte</w:t>
      </w:r>
      <w:r>
        <w:t xml:space="preserve"> (§44).</w:t>
      </w:r>
    </w:p>
    <w:p w14:paraId="54C00A40" w14:textId="62041C43" w:rsidR="001F4AF4" w:rsidRPr="0086012F" w:rsidRDefault="004C0A76" w:rsidP="00804D07">
      <w:pPr>
        <w:spacing w:line="240" w:lineRule="auto"/>
      </w:pPr>
      <w:r>
        <w:t xml:space="preserve">S’agissant par ailleurs de </w:t>
      </w:r>
      <w:r w:rsidR="00777E2D">
        <w:t xml:space="preserve">l’épuisement des voies de recours internes, la Commission, évoquant sa décision </w:t>
      </w:r>
      <w:r w:rsidR="00777E2D" w:rsidRPr="00777E2D">
        <w:rPr>
          <w:i/>
          <w:iCs/>
        </w:rPr>
        <w:t>Kenyan</w:t>
      </w:r>
      <w:r w:rsidR="00777E2D" w:rsidRPr="00777E2D">
        <w:rPr>
          <w:i/>
          <w:iCs/>
        </w:rPr>
        <w:t xml:space="preserve"> </w:t>
      </w:r>
      <w:r w:rsidR="00777E2D" w:rsidRPr="00777E2D">
        <w:rPr>
          <w:i/>
          <w:iCs/>
        </w:rPr>
        <w:t>Section</w:t>
      </w:r>
      <w:r w:rsidR="00777E2D" w:rsidRPr="00777E2D">
        <w:rPr>
          <w:i/>
          <w:iCs/>
        </w:rPr>
        <w:t xml:space="preserve"> of the </w:t>
      </w:r>
      <w:r w:rsidR="00777E2D" w:rsidRPr="00777E2D">
        <w:rPr>
          <w:i/>
          <w:iCs/>
        </w:rPr>
        <w:t>i</w:t>
      </w:r>
      <w:r w:rsidR="00777E2D" w:rsidRPr="00777E2D">
        <w:rPr>
          <w:i/>
          <w:iCs/>
        </w:rPr>
        <w:t xml:space="preserve">nternational </w:t>
      </w:r>
      <w:r w:rsidR="00777E2D" w:rsidRPr="00777E2D">
        <w:rPr>
          <w:i/>
          <w:iCs/>
        </w:rPr>
        <w:t>Commission</w:t>
      </w:r>
      <w:r w:rsidR="00777E2D" w:rsidRPr="00777E2D">
        <w:rPr>
          <w:i/>
          <w:iCs/>
        </w:rPr>
        <w:t xml:space="preserve"> </w:t>
      </w:r>
      <w:r w:rsidR="00777E2D" w:rsidRPr="00777E2D">
        <w:rPr>
          <w:i/>
          <w:iCs/>
        </w:rPr>
        <w:t>of</w:t>
      </w:r>
      <w:r w:rsidR="00777E2D" w:rsidRPr="00777E2D">
        <w:rPr>
          <w:i/>
          <w:iCs/>
        </w:rPr>
        <w:t xml:space="preserve"> j</w:t>
      </w:r>
      <w:r w:rsidR="00777E2D" w:rsidRPr="00777E2D">
        <w:rPr>
          <w:i/>
          <w:iCs/>
        </w:rPr>
        <w:t>urists</w:t>
      </w:r>
      <w:r w:rsidR="00777E2D" w:rsidRPr="00777E2D">
        <w:rPr>
          <w:i/>
          <w:iCs/>
        </w:rPr>
        <w:t xml:space="preserve"> c. </w:t>
      </w:r>
      <w:r w:rsidR="00777E2D" w:rsidRPr="00777E2D">
        <w:rPr>
          <w:i/>
          <w:iCs/>
        </w:rPr>
        <w:t>Kenya</w:t>
      </w:r>
      <w:r w:rsidR="00777E2D">
        <w:t>, a réitéré qu’</w:t>
      </w:r>
      <w:r w:rsidR="00777E2D" w:rsidRPr="00777E2D">
        <w:t>à moins que les plaignants ne soient en mesure de démontrer une situation particulière qui rendrait les recours locaux indisponibles ou inefficaces dans leur cas particulier, les arguments relatifs à l'état général du système judiciaire ne sont pas suffisants</w:t>
      </w:r>
      <w:r w:rsidR="00777E2D">
        <w:t xml:space="preserve"> pour justifier d’une exonération de la règle (§57).</w:t>
      </w:r>
      <w:r w:rsidR="00064D35">
        <w:t xml:space="preserve"> La Commission </w:t>
      </w:r>
      <w:r w:rsidR="00703E3B">
        <w:t>a</w:t>
      </w:r>
      <w:r w:rsidR="00064D35">
        <w:t xml:space="preserve"> ainsi examiné l’individualité de l’impossibilité d’épuiser les voies de recours internes</w:t>
      </w:r>
      <w:r w:rsidR="0086012F">
        <w:t xml:space="preserve">. Conformément à sa jurisprudence antérieure notamment </w:t>
      </w:r>
      <w:r w:rsidR="0086012F">
        <w:rPr>
          <w:i/>
          <w:iCs/>
        </w:rPr>
        <w:t>Open Society Justice Initiative c. Côte d’Ivoire</w:t>
      </w:r>
      <w:r w:rsidR="0086012F">
        <w:t xml:space="preserve">, celle-ci a rappelé que si la référence aux </w:t>
      </w:r>
      <w:r w:rsidR="0086012F" w:rsidRPr="0086012F">
        <w:t>recours locaux suscite en soi la crainte et constitue un risque pour la vie du plaignant ou de la victime, ces recours sont considérés comme indisponibles</w:t>
      </w:r>
      <w:r w:rsidR="0086012F">
        <w:t xml:space="preserve"> (§64). Tel est le cas en l’espèce (§65).</w:t>
      </w:r>
    </w:p>
    <w:p w14:paraId="0ECB2F2B" w14:textId="03123A8B" w:rsidR="001F4AF4" w:rsidRDefault="0086012F" w:rsidP="00804D07">
      <w:pPr>
        <w:spacing w:line="240" w:lineRule="auto"/>
      </w:pPr>
      <w:r>
        <w:t xml:space="preserve">Il existe par ailleurs certaines situations </w:t>
      </w:r>
      <w:r w:rsidR="00E6240E">
        <w:t>où</w:t>
      </w:r>
      <w:r>
        <w:t xml:space="preserve"> il revient à l’État défendeur d’initier des actions judiciaires (§66). Or, considérant les cas de torture allégués en détention, et la détention arbitraire subie par la victime, l’État défendeur a failli à son devoir de mener de tel</w:t>
      </w:r>
      <w:r w:rsidR="00703E3B">
        <w:t>le</w:t>
      </w:r>
      <w:r>
        <w:t>s investigations et actions judiciaires</w:t>
      </w:r>
      <w:r w:rsidR="00E6240E">
        <w:t xml:space="preserve"> et a ainsi rendu les recours locaux ineffectifs (§68).</w:t>
      </w:r>
    </w:p>
    <w:p w14:paraId="39B3D279" w14:textId="75D0BB56" w:rsidR="003B6144" w:rsidRDefault="00E6240E" w:rsidP="00804D07">
      <w:pPr>
        <w:spacing w:line="240" w:lineRule="auto"/>
      </w:pPr>
      <w:r>
        <w:t xml:space="preserve">La Commission </w:t>
      </w:r>
      <w:r w:rsidR="00986F48">
        <w:t xml:space="preserve">s’est finalement penchée sur la possibilité de considérer que cette communication relatait une situation particulière susceptible de </w:t>
      </w:r>
      <w:r w:rsidR="00986F48" w:rsidRPr="00986F48">
        <w:t>révéler l'existence d'un ensemble de violations graves ou massives des droits de l'homme et des peuples</w:t>
      </w:r>
      <w:r w:rsidR="00986F48">
        <w:t xml:space="preserve"> (§76).</w:t>
      </w:r>
      <w:r w:rsidR="003B6144">
        <w:t xml:space="preserve"> Elle a ainsi considéré que les violations alléguées pouvaient être qualifiées de sérieuses sans être massives (§78)</w:t>
      </w:r>
      <w:r w:rsidR="00703E3B">
        <w:t>,</w:t>
      </w:r>
      <w:r w:rsidR="003B6144">
        <w:t xml:space="preserve"> dans la mesure où ces deux critères ne sont pas cumulatifs (§79). Elle a par ailleurs affirmé que le vrai critère permettant de </w:t>
      </w:r>
      <w:r w:rsidR="003B6144" w:rsidRPr="003B6144">
        <w:t>qualifier les violations comme relevant du champ d'application de l'article 58 et qui leur confère un caractère systématique, est l'existence d'un certain niveau de connaissance, d'intention</w:t>
      </w:r>
      <w:r w:rsidR="00703E3B">
        <w:t>,</w:t>
      </w:r>
      <w:r w:rsidR="003B6144" w:rsidRPr="003B6144">
        <w:t xml:space="preserve"> ou de volonté imputable à l'État</w:t>
      </w:r>
      <w:r w:rsidR="003B6144">
        <w:t>,</w:t>
      </w:r>
      <w:r w:rsidR="003B6144" w:rsidRPr="003B6144">
        <w:t xml:space="preserve"> traduit par le terme « série »</w:t>
      </w:r>
      <w:r w:rsidR="003B6144">
        <w:rPr>
          <w:rStyle w:val="Appelnotedebasdep"/>
        </w:rPr>
        <w:footnoteReference w:id="1"/>
      </w:r>
      <w:r w:rsidR="003B6144">
        <w:t xml:space="preserve"> (§80)</w:t>
      </w:r>
      <w:r w:rsidR="003B6144" w:rsidRPr="003B6144">
        <w:t>.</w:t>
      </w:r>
      <w:r w:rsidR="003B6144">
        <w:t xml:space="preserve"> </w:t>
      </w:r>
      <w:r w:rsidR="00A447EE">
        <w:t xml:space="preserve">La Commission a ainsi considéré que le traitement des victimes ne relevait pas d’un cas isolé mais s’inscrivait bien dans une </w:t>
      </w:r>
      <w:r w:rsidR="00703E3B">
        <w:t>continuité</w:t>
      </w:r>
      <w:r w:rsidR="00A447EE">
        <w:t xml:space="preserve"> de mauvais traitement</w:t>
      </w:r>
      <w:r w:rsidR="00C34DB0">
        <w:t>s</w:t>
      </w:r>
      <w:r w:rsidR="00A447EE">
        <w:t xml:space="preserve"> subi</w:t>
      </w:r>
      <w:r w:rsidR="00C34DB0">
        <w:t>s</w:t>
      </w:r>
      <w:r w:rsidR="00A447EE">
        <w:t xml:space="preserve"> par les Témoins de Jéhovah refusant la conscription militaire et que de ce fait la série était constitué</w:t>
      </w:r>
      <w:r w:rsidR="00E92FA2">
        <w:t>e</w:t>
      </w:r>
      <w:r w:rsidR="00A447EE">
        <w:t xml:space="preserve"> (§84). Dans la mesure où, dans </w:t>
      </w:r>
      <w:r w:rsidR="00C34DB0">
        <w:t>l</w:t>
      </w:r>
      <w:r w:rsidR="00A447EE">
        <w:t>es circonstances d’une série de violation</w:t>
      </w:r>
      <w:r w:rsidR="00E92FA2">
        <w:t>s</w:t>
      </w:r>
      <w:r w:rsidR="00A447EE">
        <w:t xml:space="preserve"> grave</w:t>
      </w:r>
      <w:r w:rsidR="00E92FA2">
        <w:t>s</w:t>
      </w:r>
      <w:r w:rsidR="00A447EE">
        <w:t xml:space="preserve">, l’épuisement des voies de recours internes n’est pas nécessaire à l’admissibilité d’une communication (§85), la Commission a ainsi considéré les voies de recours comme </w:t>
      </w:r>
      <w:r w:rsidR="00E92FA2">
        <w:t>ineffectives et</w:t>
      </w:r>
      <w:r w:rsidR="00A447EE">
        <w:t xml:space="preserve"> indisponible</w:t>
      </w:r>
      <w:r w:rsidR="00E92FA2">
        <w:t>s aux requérants</w:t>
      </w:r>
      <w:r w:rsidR="00A447EE">
        <w:t xml:space="preserve"> (§87).</w:t>
      </w:r>
    </w:p>
    <w:p w14:paraId="56C68E8A" w14:textId="664C641F" w:rsidR="00E92FA2" w:rsidRDefault="00E92FA2" w:rsidP="00804D07">
      <w:pPr>
        <w:spacing w:line="240" w:lineRule="auto"/>
      </w:pPr>
      <w:r>
        <w:lastRenderedPageBreak/>
        <w:t xml:space="preserve">S’agissant du critère d’admissibilité prévu à l’article 56 (6) </w:t>
      </w:r>
      <w:r w:rsidR="007D7A59">
        <w:t>relatif au</w:t>
      </w:r>
      <w:r>
        <w:t xml:space="preserve"> délai raisonnable de saisine de la Commission, celle-ci a rappelé que dans le cas où les recours internes sont ineffectifs ou indisponibles, </w:t>
      </w:r>
      <w:r w:rsidR="007D7A59">
        <w:t>le délai</w:t>
      </w:r>
      <w:r>
        <w:t xml:space="preserve"> commence au moment où le plaignant constate cette indisponibilité (§89). Par ailleurs, </w:t>
      </w:r>
      <w:r w:rsidR="007D7A59">
        <w:t>le</w:t>
      </w:r>
      <w:r>
        <w:t xml:space="preserve"> fait que </w:t>
      </w:r>
      <w:r w:rsidR="007D7A59">
        <w:t>la violation alléguée</w:t>
      </w:r>
      <w:r>
        <w:t xml:space="preserve"> </w:t>
      </w:r>
      <w:r w:rsidR="007D7A59">
        <w:t>soi</w:t>
      </w:r>
      <w:r w:rsidR="00B87368">
        <w:t>t</w:t>
      </w:r>
      <w:r>
        <w:t xml:space="preserve"> continu</w:t>
      </w:r>
      <w:r w:rsidR="007D7A59">
        <w:t>e</w:t>
      </w:r>
      <w:r>
        <w:t xml:space="preserve">, </w:t>
      </w:r>
      <w:r w:rsidR="007D7A59">
        <w:t>rend l’appréciation du délai raisonnable particulière. S’inspirant des décisions de la CEDH et de la CIADH elle a considéré que la communication avait été soumise dans une période raisonnable (§103).</w:t>
      </w:r>
    </w:p>
    <w:p w14:paraId="0B29F46B" w14:textId="1842046E" w:rsidR="007D7A59" w:rsidRDefault="00474E26" w:rsidP="00804D07">
      <w:pPr>
        <w:spacing w:line="240" w:lineRule="auto"/>
      </w:pPr>
      <w:r>
        <w:t>La Commission relativement aux preuves lui ayant été soumises a considéré que les victimes ont subi des actes de torture et des trai</w:t>
      </w:r>
      <w:r w:rsidR="00C34DB0">
        <w:t>t</w:t>
      </w:r>
      <w:r>
        <w:t>ements inhumains ou dégradants (§134). L’Érythrée a ainsi violé l’article 5 de la Charte (§140). Elle a également constaté une violation de l’article 6 dans la mesure o</w:t>
      </w:r>
      <w:r w:rsidR="00C34DB0">
        <w:t>ù</w:t>
      </w:r>
      <w:r>
        <w:t xml:space="preserve"> les victimes ont été arrêtées et détenues sans base légale</w:t>
      </w:r>
      <w:r w:rsidR="007336CD">
        <w:t>, sans avoir pu se défendre devant un juge ou une autorité compétente (§154). Elle a en outre rappelé que l’article 6 impose aux États de détenir les individus dans des lieux de détention officiels ce qui n'est pas le cas du camp militaire de Sawa o</w:t>
      </w:r>
      <w:r w:rsidR="00C34DB0">
        <w:t>ù</w:t>
      </w:r>
      <w:r w:rsidR="007336CD">
        <w:t xml:space="preserve"> ils ont été détenus avant d’être transféré</w:t>
      </w:r>
      <w:r w:rsidR="00C34DB0">
        <w:t>s</w:t>
      </w:r>
      <w:r w:rsidR="007336CD">
        <w:t xml:space="preserve"> à la prison de Mai Serwa (§152).</w:t>
      </w:r>
    </w:p>
    <w:p w14:paraId="28BF1143" w14:textId="0769E19E" w:rsidR="007336CD" w:rsidRDefault="007336CD" w:rsidP="00804D07">
      <w:pPr>
        <w:spacing w:line="240" w:lineRule="auto"/>
      </w:pPr>
      <w:r>
        <w:t xml:space="preserve">S’agissant </w:t>
      </w:r>
      <w:r w:rsidR="00AB3523">
        <w:t>des violations alléguées</w:t>
      </w:r>
      <w:r>
        <w:t xml:space="preserve"> de l’article 7, la Commission a reconnu la violation du droit à être entendu (§162),</w:t>
      </w:r>
      <w:r w:rsidR="00A02FDA">
        <w:t xml:space="preserve"> </w:t>
      </w:r>
      <w:r>
        <w:t>d’être présumé innocent (§167), d’avoir accès à un avocat ou à sa famille (§170)</w:t>
      </w:r>
      <w:r w:rsidR="00AB3523">
        <w:t xml:space="preserve"> ainsi que</w:t>
      </w:r>
      <w:r>
        <w:t xml:space="preserve"> du droit d’être jugé dans </w:t>
      </w:r>
      <w:r w:rsidR="00AB3523">
        <w:t>un délai raisonnable (§177).</w:t>
      </w:r>
    </w:p>
    <w:p w14:paraId="14EA285F" w14:textId="1046BCAC" w:rsidR="001F4AF4" w:rsidRPr="001F4AF4" w:rsidRDefault="00AE6BDE" w:rsidP="00804D07">
      <w:pPr>
        <w:spacing w:line="240" w:lineRule="auto"/>
      </w:pPr>
      <w:r>
        <w:t xml:space="preserve">S’agissant des allégations de violation de l’article 8 la Commission s’est </w:t>
      </w:r>
      <w:r w:rsidR="00635139">
        <w:t>interrogée</w:t>
      </w:r>
      <w:r>
        <w:t xml:space="preserve"> sur la possibilité de considérer le droit à l’objection de conscience au service militaire comme une partie de la liberté de conscience et de religion (§186).</w:t>
      </w:r>
      <w:r w:rsidR="00635139">
        <w:t xml:space="preserve"> La Commission a tout d’abord établi que dans la mesure o</w:t>
      </w:r>
      <w:r w:rsidR="00C34DB0">
        <w:t>ù</w:t>
      </w:r>
      <w:r w:rsidR="00635139">
        <w:t xml:space="preserve"> pour être objecteur de conscience il était nécessaire d’opposer un rejet, un refus, alors la question ne relevait pas de la liberté de conscience ma</w:t>
      </w:r>
      <w:r w:rsidR="00B87368">
        <w:t>i</w:t>
      </w:r>
      <w:r w:rsidR="00635139">
        <w:t xml:space="preserve">s de la liberté de culte (§196). Or, La Commission avait déjà établi dans sa décision </w:t>
      </w:r>
      <w:r w:rsidR="00635139">
        <w:rPr>
          <w:i/>
          <w:iCs/>
        </w:rPr>
        <w:t xml:space="preserve">Prince c. Afrique du Sud </w:t>
      </w:r>
      <w:r w:rsidR="00635139">
        <w:t>que si le droit de croire est absolu, celui d’agir en vertu de ses croyances ne l’est pas (§197).</w:t>
      </w:r>
      <w:r w:rsidR="00E86951">
        <w:t xml:space="preserve"> Analysant la jurisprudence d’autres instruments de protection des droits de l’Homme la Commission en a conclu qu’« </w:t>
      </w:r>
      <w:r w:rsidR="00B87368">
        <w:t>a</w:t>
      </w:r>
      <w:r w:rsidR="00E86951" w:rsidRPr="00E86951">
        <w:t>près tout, le service militaire n'est pas une religion et il serait incongru de déduire que contraindre les gens à effectuer leur service militaire revient à les contraindre à changer de religion ou à adhérer à une religion</w:t>
      </w:r>
      <w:r w:rsidR="00ED7EB0">
        <w:t> » (§219).</w:t>
      </w:r>
    </w:p>
    <w:p w14:paraId="4A460A63" w14:textId="38598745" w:rsidR="00CB1937" w:rsidRDefault="00D27901" w:rsidP="00804D07">
      <w:pPr>
        <w:spacing w:line="240" w:lineRule="auto"/>
        <w:rPr>
          <w:u w:val="single"/>
        </w:rPr>
      </w:pPr>
      <w:hyperlink r:id="rId9" w:history="1">
        <w:r w:rsidRPr="00D27901">
          <w:rPr>
            <w:rStyle w:val="Lienhypertexte"/>
          </w:rPr>
          <w:t xml:space="preserve">Décision, </w:t>
        </w:r>
        <w:r w:rsidR="00CB1937" w:rsidRPr="00D27901">
          <w:rPr>
            <w:rStyle w:val="Lienhypertexte"/>
            <w:i/>
            <w:iCs/>
          </w:rPr>
          <w:t>Menduzaki P</w:t>
        </w:r>
        <w:r w:rsidR="00CB1937" w:rsidRPr="00D27901">
          <w:rPr>
            <w:rStyle w:val="Lienhypertexte"/>
            <w:i/>
            <w:iCs/>
          </w:rPr>
          <w:t>a</w:t>
        </w:r>
        <w:r w:rsidR="00CB1937" w:rsidRPr="00D27901">
          <w:rPr>
            <w:rStyle w:val="Lienhypertexte"/>
            <w:i/>
            <w:iCs/>
          </w:rPr>
          <w:t>tricia Monakali and others v. South Africa</w:t>
        </w:r>
        <w:r w:rsidR="00CB1937" w:rsidRPr="00D27901">
          <w:rPr>
            <w:rStyle w:val="Lienhypertexte"/>
          </w:rPr>
          <w:t>, 5 nov</w:t>
        </w:r>
        <w:r w:rsidRPr="00D27901">
          <w:rPr>
            <w:rStyle w:val="Lienhypertexte"/>
          </w:rPr>
          <w:t xml:space="preserve">embre </w:t>
        </w:r>
        <w:r w:rsidR="00CB1937" w:rsidRPr="00D27901">
          <w:rPr>
            <w:rStyle w:val="Lienhypertexte"/>
          </w:rPr>
          <w:t xml:space="preserve">2025, </w:t>
        </w:r>
        <w:r w:rsidRPr="00D27901">
          <w:rPr>
            <w:rStyle w:val="Lienhypertexte"/>
          </w:rPr>
          <w:t xml:space="preserve">fond, </w:t>
        </w:r>
        <w:r w:rsidRPr="00D27901">
          <w:rPr>
            <w:rStyle w:val="Lienhypertexte"/>
          </w:rPr>
          <w:t>Communicati</w:t>
        </w:r>
        <w:r w:rsidRPr="00D27901">
          <w:rPr>
            <w:rStyle w:val="Lienhypertexte"/>
          </w:rPr>
          <w:t>o</w:t>
        </w:r>
        <w:r w:rsidRPr="00D27901">
          <w:rPr>
            <w:rStyle w:val="Lienhypertexte"/>
          </w:rPr>
          <w:t>n 377/09</w:t>
        </w:r>
        <w:r w:rsidRPr="00D27901">
          <w:rPr>
            <w:rStyle w:val="Lienhypertexte"/>
          </w:rPr>
          <w:t>.</w:t>
        </w:r>
      </w:hyperlink>
    </w:p>
    <w:p w14:paraId="699F8A49" w14:textId="64509268" w:rsidR="00F82986" w:rsidRDefault="00405743" w:rsidP="00804D07">
      <w:pPr>
        <w:spacing w:line="240" w:lineRule="auto"/>
      </w:pPr>
      <w:r>
        <w:t xml:space="preserve">Les plaignants sont </w:t>
      </w:r>
      <w:r w:rsidR="000837B7">
        <w:t>les habitants informels</w:t>
      </w:r>
      <w:r>
        <w:t xml:space="preserve"> d’habitations de fortune situé</w:t>
      </w:r>
      <w:r w:rsidR="00B87368">
        <w:t>e</w:t>
      </w:r>
      <w:r>
        <w:t xml:space="preserve">s dans la ferme Rooikop 140 appartenant au Islamic Dawah Movement Trust (IDM Trust). Ils allèguent que malgré leurs demandes ils n’ont jamais pu bénéficier d’une prise en charge ou d’un soutien de </w:t>
      </w:r>
      <w:r w:rsidR="00B87368">
        <w:t>l’administration pour bénéficier d’un relogement ou de meilleures conditions d’habitation (</w:t>
      </w:r>
      <w:r>
        <w:t>§8).</w:t>
      </w:r>
    </w:p>
    <w:p w14:paraId="2B1951FB" w14:textId="34C59403" w:rsidR="00F82986" w:rsidRDefault="009D7C71" w:rsidP="00804D07">
      <w:pPr>
        <w:spacing w:line="240" w:lineRule="auto"/>
      </w:pPr>
      <w:r>
        <w:t xml:space="preserve">S’agissant en premier lieu de la recevabilité la Commission a considéré qu’une demande relative aux atteintes aux droits pouvant intervenir dans le cadre </w:t>
      </w:r>
      <w:r w:rsidR="00B87368">
        <w:t xml:space="preserve">d’une </w:t>
      </w:r>
      <w:r w:rsidRPr="009D7C71">
        <w:t xml:space="preserve">expulsion </w:t>
      </w:r>
      <w:r w:rsidR="009E3237">
        <w:t>était compatible avec les conditions posées par l’article 56(2) de la Charte (§68).</w:t>
      </w:r>
      <w:r w:rsidR="0050458A">
        <w:t xml:space="preserve"> La Commission a en outre considéré que les plaignants avaient bien épuisé les voies de recours internes (§86) et que leur demande avait été effectué</w:t>
      </w:r>
      <w:r w:rsidR="00B87368">
        <w:t>e</w:t>
      </w:r>
      <w:r w:rsidR="0050458A">
        <w:t xml:space="preserve"> dans un délai raisonnable (§93).</w:t>
      </w:r>
    </w:p>
    <w:p w14:paraId="6BE3A397" w14:textId="6E5004D8" w:rsidR="00F82986" w:rsidRDefault="00D402E1" w:rsidP="00804D07">
      <w:pPr>
        <w:tabs>
          <w:tab w:val="left" w:pos="926"/>
        </w:tabs>
        <w:spacing w:line="240" w:lineRule="auto"/>
      </w:pPr>
      <w:r>
        <w:t xml:space="preserve">S’agissant des violations alléguées de l’article 5 la Commission a rappelé que le droit au respect de la dignité </w:t>
      </w:r>
      <w:r w:rsidR="00DA1E08">
        <w:t>a</w:t>
      </w:r>
      <w:r>
        <w:t xml:space="preserve"> des conséquences sur les autres droits</w:t>
      </w:r>
      <w:r w:rsidR="00B87368">
        <w:t>,</w:t>
      </w:r>
      <w:r>
        <w:t xml:space="preserve"> comme le droit à la nourriture, au logement, à la santé, au travail etc. Elle a ainsi confirmé </w:t>
      </w:r>
      <w:r w:rsidR="00FF7829">
        <w:t>que le</w:t>
      </w:r>
      <w:r>
        <w:t xml:space="preserve"> droit de vivre dignement implique une obligation pour l’État de garantir aux groupes vulnérables sujets à des risques de sans-abrisme, d’avoir accès à des conditions d’habitations digne</w:t>
      </w:r>
      <w:r w:rsidR="00B87368">
        <w:t>s</w:t>
      </w:r>
      <w:r>
        <w:t xml:space="preserve"> et </w:t>
      </w:r>
      <w:r w:rsidR="00DA1E08">
        <w:t xml:space="preserve">à </w:t>
      </w:r>
      <w:r>
        <w:t xml:space="preserve">un environnement sain (§179). L’État a en outre l’obligation de surveiller les lieux d’habitation pour s’assurer que les conditions de vie ne </w:t>
      </w:r>
      <w:r>
        <w:lastRenderedPageBreak/>
        <w:t>deviennent pas dangereuses pour la vie humaine ou le bien</w:t>
      </w:r>
      <w:r w:rsidR="00DA1E08">
        <w:t>-</w:t>
      </w:r>
      <w:r>
        <w:t>être des habitants</w:t>
      </w:r>
      <w:r w:rsidR="00FF7829">
        <w:t xml:space="preserve"> (§181). Pour autant, la Commission a rappelé que</w:t>
      </w:r>
      <w:r w:rsidR="00AE2916">
        <w:t xml:space="preserve"> si</w:t>
      </w:r>
      <w:r w:rsidR="00FF7829">
        <w:t xml:space="preserve"> la mise en œuvre des droits économiques et sociaux </w:t>
      </w:r>
      <w:r w:rsidR="0011390F">
        <w:t xml:space="preserve">implique pour les États une obligation de respecter, protéger et promouvoir ces droits, </w:t>
      </w:r>
      <w:r w:rsidR="00010E74">
        <w:t>ceux-ci</w:t>
      </w:r>
      <w:r w:rsidR="0011390F">
        <w:t xml:space="preserve"> ont un certain pouvoir discrétionnaire dans la manière dont ils allouent leurs ressources pour répondre à ces obligations (§190). Ainsi, s’il est du devoir de l’État défendeur de montrer les programmes qu’il a mis en œuvre pour régler les problèmes auxquels font face les plaignants, il n’a pas d’obligation de délai dans le règlement des difficultés vécues (§193). La Commission a ainsi considéré qu’il n’y avait pas de preuve que l’État n’</w:t>
      </w:r>
      <w:r w:rsidR="00AE2916">
        <w:t>ait</w:t>
      </w:r>
      <w:r w:rsidR="0011390F">
        <w:t xml:space="preserve"> pas mis en </w:t>
      </w:r>
      <w:r w:rsidR="006032C8">
        <w:t>œuvre</w:t>
      </w:r>
      <w:r w:rsidR="0011390F">
        <w:t xml:space="preserve"> de tels programmes de lutte contre le sans-abrisme ou que les programmes mis en œuvre l’aient été en discriminant les plaignants. La Commission n’a donc pas </w:t>
      </w:r>
      <w:r w:rsidR="00DA1E08">
        <w:t>conclu</w:t>
      </w:r>
      <w:r w:rsidR="0011390F">
        <w:t xml:space="preserve"> </w:t>
      </w:r>
      <w:r w:rsidR="00DA1E08">
        <w:t>à une</w:t>
      </w:r>
      <w:r w:rsidR="0011390F">
        <w:t xml:space="preserve"> violation de l’article 5 (§196).</w:t>
      </w:r>
    </w:p>
    <w:p w14:paraId="1EDF587A" w14:textId="78B583D6" w:rsidR="00F82986" w:rsidRDefault="00AE2916" w:rsidP="00804D07">
      <w:pPr>
        <w:spacing w:line="240" w:lineRule="auto"/>
      </w:pPr>
      <w:r>
        <w:t xml:space="preserve">Étudiant la violation alléguée de l’article 18 la Commission a rappelé qu’elle </w:t>
      </w:r>
      <w:r w:rsidR="00010E74">
        <w:t>avait</w:t>
      </w:r>
      <w:r>
        <w:t xml:space="preserve"> considéré dans sa jurisprudence antérieure, que si le droit au logement n’est pas explicitement présent dans la Charte il est déductible d’une lecture conjointe des articles 14, 16 et 18</w:t>
      </w:r>
      <w:r w:rsidR="00575B16">
        <w:t xml:space="preserve"> (§203). Elle a en outre rappelé que le droit au logement ne signifiait pas seulement celui </w:t>
      </w:r>
      <w:r w:rsidR="00010E74">
        <w:t>« </w:t>
      </w:r>
      <w:r w:rsidR="00575B16">
        <w:t>d’avoir un toit sur la tête</w:t>
      </w:r>
      <w:r w:rsidR="00010E74">
        <w:t> »</w:t>
      </w:r>
      <w:r w:rsidR="00575B16">
        <w:t xml:space="preserve"> mais celui de vi</w:t>
      </w:r>
      <w:r w:rsidR="00010E74">
        <w:t>v</w:t>
      </w:r>
      <w:r w:rsidR="00575B16">
        <w:t>re quelque part en paix, dignement et en sécurité (§204).</w:t>
      </w:r>
      <w:r w:rsidR="00F611E9">
        <w:t xml:space="preserve"> La Commission rappelant les obligations et conditions qu’induit le principe de réalisation progressive des droits économiques, sociaux et culturels (§217-220) a rappelé </w:t>
      </w:r>
      <w:r w:rsidR="0049539D">
        <w:t xml:space="preserve">que cela ne donnait pas aux États une liberté totale pour définir les </w:t>
      </w:r>
      <w:r w:rsidR="00C96FA7">
        <w:t>manières de réaliser ces droits. Elle a par ailleurs rappelé que l’obligation pour les administrations de suivre les procédures légales dans la mise en œuvre de leurs programmes de lutte contre le sans-abrisme ne pouvait servir d’excuse pour se soustraire à leurs obligations internes et internationales (§224). Ainsi, relativement au fait que l’occupation du terrain privé par les plaignants était une mesure d’urgence demandée par l’État, la Commission a conclu à l’absence de violation de l’article 18 mais a tout de même</w:t>
      </w:r>
      <w:r w:rsidR="00F34791">
        <w:t> </w:t>
      </w:r>
      <w:r w:rsidR="00F34791" w:rsidRPr="00F34791">
        <w:t>exhort</w:t>
      </w:r>
      <w:r w:rsidR="00F34791">
        <w:t>é</w:t>
      </w:r>
      <w:r w:rsidR="00F34791" w:rsidRPr="00F34791">
        <w:t xml:space="preserve"> </w:t>
      </w:r>
      <w:r w:rsidR="00F34791">
        <w:t>« </w:t>
      </w:r>
      <w:r w:rsidR="00F34791" w:rsidRPr="00F34791">
        <w:t>le gouvernement à mettre fin à l'occupation illégale liée à l'hébergement temporaire des plaignants afin de protéger leur droit à la vie familiale</w:t>
      </w:r>
      <w:r w:rsidR="00F34791">
        <w:t xml:space="preserve"> » (§233). </w:t>
      </w:r>
    </w:p>
    <w:p w14:paraId="5B3BA5AA" w14:textId="45D8B919" w:rsidR="00F82986" w:rsidRPr="00F82986" w:rsidRDefault="00AE2916" w:rsidP="00804D07">
      <w:pPr>
        <w:spacing w:line="240" w:lineRule="auto"/>
      </w:pPr>
      <w:r>
        <w:t>La Co</w:t>
      </w:r>
      <w:r w:rsidR="00DA1E08">
        <w:t>mmission</w:t>
      </w:r>
      <w:r>
        <w:t xml:space="preserve"> a par ailleurs constaté que l</w:t>
      </w:r>
      <w:r w:rsidR="00F34791">
        <w:t xml:space="preserve">es </w:t>
      </w:r>
      <w:r>
        <w:t>article</w:t>
      </w:r>
      <w:r w:rsidR="00F34791">
        <w:t>s</w:t>
      </w:r>
      <w:r>
        <w:t xml:space="preserve"> 17</w:t>
      </w:r>
      <w:r w:rsidR="00F34791">
        <w:t xml:space="preserve"> </w:t>
      </w:r>
      <w:r w:rsidR="00F34791">
        <w:t>(§201)</w:t>
      </w:r>
      <w:r w:rsidR="00F34791">
        <w:t>, 22 (§245)</w:t>
      </w:r>
      <w:r w:rsidR="001709D3">
        <w:t xml:space="preserve"> et 24 (§252)</w:t>
      </w:r>
      <w:r>
        <w:t xml:space="preserve"> n’</w:t>
      </w:r>
      <w:r w:rsidR="001709D3">
        <w:t>ont</w:t>
      </w:r>
      <w:r>
        <w:t xml:space="preserve"> pas été violé</w:t>
      </w:r>
      <w:r w:rsidR="001709D3">
        <w:t>s.</w:t>
      </w:r>
      <w:r>
        <w:t xml:space="preserve"> </w:t>
      </w:r>
    </w:p>
    <w:p w14:paraId="7C095207" w14:textId="2F361210" w:rsidR="00CB1937" w:rsidRDefault="00D27901" w:rsidP="00804D07">
      <w:pPr>
        <w:spacing w:line="240" w:lineRule="auto"/>
        <w:rPr>
          <w:u w:val="single"/>
        </w:rPr>
      </w:pPr>
      <w:hyperlink r:id="rId10" w:history="1">
        <w:r w:rsidRPr="00D27901">
          <w:rPr>
            <w:rStyle w:val="Lienhypertexte"/>
          </w:rPr>
          <w:t>Décision,</w:t>
        </w:r>
        <w:r w:rsidR="00CB1937" w:rsidRPr="00D27901">
          <w:rPr>
            <w:rStyle w:val="Lienhypertexte"/>
          </w:rPr>
          <w:t xml:space="preserve"> </w:t>
        </w:r>
        <w:r w:rsidR="00CB1937" w:rsidRPr="00D27901">
          <w:rPr>
            <w:rStyle w:val="Lienhypertexte"/>
            <w:i/>
            <w:iCs/>
          </w:rPr>
          <w:t>S.A. c Republique Democratique du Cong</w:t>
        </w:r>
        <w:r w:rsidRPr="00D27901">
          <w:rPr>
            <w:rStyle w:val="Lienhypertexte"/>
            <w:i/>
            <w:iCs/>
          </w:rPr>
          <w:t>o</w:t>
        </w:r>
        <w:r w:rsidR="00CB1937" w:rsidRPr="00D27901">
          <w:rPr>
            <w:rStyle w:val="Lienhypertexte"/>
          </w:rPr>
          <w:t>, 18 nov</w:t>
        </w:r>
        <w:r w:rsidRPr="00D27901">
          <w:rPr>
            <w:rStyle w:val="Lienhypertexte"/>
          </w:rPr>
          <w:t>embre</w:t>
        </w:r>
        <w:r w:rsidR="00CB1937" w:rsidRPr="00D27901">
          <w:rPr>
            <w:rStyle w:val="Lienhypertexte"/>
          </w:rPr>
          <w:t xml:space="preserve"> 2025</w:t>
        </w:r>
        <w:r w:rsidRPr="00D27901">
          <w:rPr>
            <w:rStyle w:val="Lienhypertexte"/>
          </w:rPr>
          <w:t xml:space="preserve">, fond, </w:t>
        </w:r>
        <w:r w:rsidRPr="00D27901">
          <w:rPr>
            <w:rStyle w:val="Lienhypertexte"/>
          </w:rPr>
          <w:t>Communication 502/14</w:t>
        </w:r>
        <w:r w:rsidRPr="00D27901">
          <w:rPr>
            <w:rStyle w:val="Lienhypertexte"/>
          </w:rPr>
          <w:t>.</w:t>
        </w:r>
      </w:hyperlink>
    </w:p>
    <w:p w14:paraId="1FDF5B3B" w14:textId="085E1237" w:rsidR="00F120DC" w:rsidRDefault="00BF7C6D" w:rsidP="00804D07">
      <w:pPr>
        <w:spacing w:line="240" w:lineRule="auto"/>
      </w:pPr>
      <w:r>
        <w:t xml:space="preserve">La plaignante allègue </w:t>
      </w:r>
      <w:r w:rsidR="005A14AC">
        <w:t>qu’elle a été violée par</w:t>
      </w:r>
      <w:r>
        <w:t xml:space="preserve"> un individu membre de</w:t>
      </w:r>
      <w:r w:rsidR="00DA1E08">
        <w:t>s</w:t>
      </w:r>
      <w:r>
        <w:t xml:space="preserve"> </w:t>
      </w:r>
      <w:r w:rsidR="005A14AC" w:rsidRPr="005A14AC">
        <w:t>Forces Arm</w:t>
      </w:r>
      <w:r w:rsidR="005A14AC">
        <w:t>é</w:t>
      </w:r>
      <w:r w:rsidR="005A14AC" w:rsidRPr="005A14AC">
        <w:t>es de la R</w:t>
      </w:r>
      <w:r w:rsidR="005A14AC">
        <w:t>é</w:t>
      </w:r>
      <w:r w:rsidR="005A14AC" w:rsidRPr="005A14AC">
        <w:t xml:space="preserve">publique </w:t>
      </w:r>
      <w:r w:rsidR="005A14AC" w:rsidRPr="005A14AC">
        <w:t>Démocratique</w:t>
      </w:r>
      <w:r w:rsidR="005A14AC" w:rsidRPr="005A14AC">
        <w:t xml:space="preserve"> du Congo (FARDC)</w:t>
      </w:r>
      <w:r w:rsidR="005A14AC">
        <w:t xml:space="preserve">. Elle allègue que malgré un jugement enjoignant l’agresseur ainsi que l’État défendeur </w:t>
      </w:r>
      <w:r w:rsidR="00DA1E08">
        <w:t>à</w:t>
      </w:r>
      <w:r w:rsidR="005A14AC">
        <w:t xml:space="preserve"> pay</w:t>
      </w:r>
      <w:r w:rsidR="00DA1E08">
        <w:t>er</w:t>
      </w:r>
      <w:r w:rsidR="005A14AC">
        <w:t xml:space="preserve"> des dommages-intérêts à la plaignante</w:t>
      </w:r>
      <w:r w:rsidR="00010E74">
        <w:t>,</w:t>
      </w:r>
      <w:r w:rsidR="005A14AC">
        <w:t xml:space="preserve"> ceux-ci ne lui ont pas été payés. </w:t>
      </w:r>
    </w:p>
    <w:p w14:paraId="381412E3" w14:textId="1C883507" w:rsidR="005A14AC" w:rsidRDefault="005A14AC" w:rsidP="00804D07">
      <w:pPr>
        <w:spacing w:line="240" w:lineRule="auto"/>
      </w:pPr>
      <w:r>
        <w:t>La Commission a déclaré la communication recevable (§55).</w:t>
      </w:r>
    </w:p>
    <w:p w14:paraId="4875D501" w14:textId="434C5815" w:rsidR="009021E7" w:rsidRDefault="009021E7" w:rsidP="00804D07">
      <w:pPr>
        <w:spacing w:line="240" w:lineRule="auto"/>
      </w:pPr>
      <w:r>
        <w:t>S’agissant du droit à un recours effectif la Commission a constaté une « mise en œuvre incomplète du droit » (§114), dans la mesure où l’État n’a pas mis en œuvre les mesures adaptées pour permettre l’exécution de la décision du tribunal (§115).</w:t>
      </w:r>
      <w:r w:rsidR="00FC7F72">
        <w:t xml:space="preserve"> La Commission a ainsi considéré qu’une lecture conjointe de l’article 7 de la Charte et</w:t>
      </w:r>
      <w:r w:rsidR="00DA1E08">
        <w:t xml:space="preserve"> de l’article</w:t>
      </w:r>
      <w:r w:rsidR="00FC7F72">
        <w:t xml:space="preserve"> 8 du protocole de Maputo permettait de considérer que « L’État</w:t>
      </w:r>
      <w:r w:rsidR="00FC7F72">
        <w:t xml:space="preserve"> </w:t>
      </w:r>
      <w:r w:rsidR="00FC7F72">
        <w:t>défendeur</w:t>
      </w:r>
      <w:r w:rsidR="00FC7F72">
        <w:t xml:space="preserve"> </w:t>
      </w:r>
      <w:r w:rsidR="00FC7F72">
        <w:t>a</w:t>
      </w:r>
      <w:r w:rsidR="00FC7F72">
        <w:t xml:space="preserve"> manqu</w:t>
      </w:r>
      <w:r w:rsidR="00FC7F72">
        <w:t>é</w:t>
      </w:r>
      <w:r w:rsidR="00FC7F72">
        <w:t xml:space="preserve"> </w:t>
      </w:r>
      <w:r w:rsidR="00FC7F72">
        <w:t>à</w:t>
      </w:r>
      <w:r w:rsidR="00FC7F72">
        <w:t xml:space="preserve"> son obligation </w:t>
      </w:r>
      <w:r w:rsidR="00FC7F72">
        <w:t>d’apporter</w:t>
      </w:r>
      <w:r w:rsidR="00FC7F72">
        <w:t xml:space="preserve"> une assistance </w:t>
      </w:r>
      <w:r w:rsidR="00FC7F72">
        <w:t>efficace</w:t>
      </w:r>
      <w:r w:rsidR="00FC7F72">
        <w:t xml:space="preserve"> jusqu</w:t>
      </w:r>
      <w:r w:rsidR="00FC7F72">
        <w:t>’à réparation</w:t>
      </w:r>
      <w:r w:rsidR="00FC7F72">
        <w:t xml:space="preserve"> effective des violations subies par </w:t>
      </w:r>
      <w:r w:rsidR="00FC7F72">
        <w:t>l</w:t>
      </w:r>
      <w:r w:rsidR="00FC7F72">
        <w:t>a victime</w:t>
      </w:r>
      <w:r w:rsidR="00FC7F72">
        <w:t xml:space="preserve"> » (§117), et de ce fait avait </w:t>
      </w:r>
      <w:r w:rsidR="00010E74">
        <w:t>également</w:t>
      </w:r>
      <w:r w:rsidR="00FC7F72">
        <w:t xml:space="preserve"> violé les article 1 de la Charte et 4(2)(f) du Protocole.</w:t>
      </w:r>
    </w:p>
    <w:p w14:paraId="18077924" w14:textId="1A1BFC7C" w:rsidR="009C16C8" w:rsidRDefault="009C16C8" w:rsidP="00804D07">
      <w:pPr>
        <w:spacing w:line="240" w:lineRule="auto"/>
      </w:pPr>
      <w:r>
        <w:t xml:space="preserve">Rappelant sa jurisprudence dans l’affaire </w:t>
      </w:r>
      <w:r>
        <w:rPr>
          <w:i/>
          <w:iCs/>
        </w:rPr>
        <w:t>Bissangou c. Congo</w:t>
      </w:r>
      <w:r>
        <w:t xml:space="preserve">, la Commission a considéré </w:t>
      </w:r>
      <w:r w:rsidR="00010E74">
        <w:t>que</w:t>
      </w:r>
      <w:r>
        <w:t xml:space="preserve"> « l</w:t>
      </w:r>
      <w:r w:rsidRPr="009C16C8">
        <w:t xml:space="preserve">e manquement d'un </w:t>
      </w:r>
      <w:r w:rsidRPr="009C16C8">
        <w:t>État</w:t>
      </w:r>
      <w:r w:rsidRPr="009C16C8">
        <w:t xml:space="preserve"> </w:t>
      </w:r>
      <w:r w:rsidRPr="009C16C8">
        <w:t>à</w:t>
      </w:r>
      <w:r w:rsidRPr="009C16C8">
        <w:t xml:space="preserve"> payer </w:t>
      </w:r>
      <w:r>
        <w:t>l’</w:t>
      </w:r>
      <w:r w:rsidRPr="009C16C8">
        <w:t>indemnisation</w:t>
      </w:r>
      <w:r w:rsidRPr="009C16C8">
        <w:t xml:space="preserve"> octroy</w:t>
      </w:r>
      <w:r>
        <w:t>ée</w:t>
      </w:r>
      <w:r w:rsidRPr="009C16C8">
        <w:t xml:space="preserve"> par </w:t>
      </w:r>
      <w:r w:rsidRPr="009C16C8">
        <w:t>décision</w:t>
      </w:r>
      <w:r w:rsidRPr="009C16C8">
        <w:t xml:space="preserve"> judiciaire constitue une violation de l'article 14 de la Charte Africaine</w:t>
      </w:r>
      <w:r>
        <w:t> » (§122).</w:t>
      </w:r>
    </w:p>
    <w:p w14:paraId="317D8A73" w14:textId="036013DA" w:rsidR="009C16C8" w:rsidRPr="009C16C8" w:rsidRDefault="009C16C8" w:rsidP="00804D07">
      <w:pPr>
        <w:spacing w:line="240" w:lineRule="auto"/>
      </w:pPr>
      <w:r>
        <w:lastRenderedPageBreak/>
        <w:t xml:space="preserve">Concernant la réparation, la Commission a </w:t>
      </w:r>
      <w:r w:rsidR="005F5097">
        <w:t>reconnu</w:t>
      </w:r>
      <w:r>
        <w:t xml:space="preserve"> que la demande de la requérante à </w:t>
      </w:r>
      <w:r w:rsidR="005F5097">
        <w:t xml:space="preserve">recevoir </w:t>
      </w:r>
      <w:r>
        <w:t>son indemnisation de 10 000$ était fondée (§137) ainsi que celle de se voir restituer ses 120$ d’épargne (§142). Elle a en outre reconnu la recevabilité de la demande à ce que lui soient payés des intérêts de 6% à compter de la date de jugement (§147)</w:t>
      </w:r>
      <w:r w:rsidR="005F5097">
        <w:t>, ainsi que celle de prendre les mesures nécessaires pour l’exécution par l’agresseur de sa peine (§153).</w:t>
      </w:r>
    </w:p>
    <w:p w14:paraId="792B6D5C" w14:textId="77777777" w:rsidR="00F120DC" w:rsidRPr="00F120DC" w:rsidRDefault="00F120DC" w:rsidP="00804D07">
      <w:pPr>
        <w:spacing w:line="240" w:lineRule="auto"/>
      </w:pPr>
    </w:p>
    <w:p w14:paraId="0C9CD420" w14:textId="0C051756" w:rsidR="00CB1937" w:rsidRDefault="00CB1937" w:rsidP="00804D07">
      <w:pPr>
        <w:spacing w:line="240" w:lineRule="auto"/>
        <w:rPr>
          <w:b/>
          <w:bCs/>
          <w:u w:val="single"/>
        </w:rPr>
      </w:pPr>
      <w:r>
        <w:rPr>
          <w:b/>
          <w:bCs/>
          <w:u w:val="single"/>
        </w:rPr>
        <w:t>77</w:t>
      </w:r>
      <w:r w:rsidR="00435452" w:rsidRPr="00435452">
        <w:rPr>
          <w:b/>
          <w:bCs/>
          <w:u w:val="single"/>
          <w:vertAlign w:val="superscript"/>
        </w:rPr>
        <w:t>ème</w:t>
      </w:r>
      <w:r>
        <w:rPr>
          <w:b/>
          <w:bCs/>
          <w:u w:val="single"/>
        </w:rPr>
        <w:t xml:space="preserve"> </w:t>
      </w:r>
      <w:r w:rsidR="00435452">
        <w:rPr>
          <w:b/>
          <w:bCs/>
          <w:u w:val="single"/>
        </w:rPr>
        <w:t>session ordinaire</w:t>
      </w:r>
      <w:r w:rsidR="00435452">
        <w:rPr>
          <w:b/>
          <w:bCs/>
          <w:u w:val="single"/>
        </w:rPr>
        <w:t> :</w:t>
      </w:r>
      <w:r>
        <w:rPr>
          <w:b/>
          <w:bCs/>
          <w:u w:val="single"/>
        </w:rPr>
        <w:t xml:space="preserve"> </w:t>
      </w:r>
    </w:p>
    <w:p w14:paraId="77829395" w14:textId="14714B53" w:rsidR="00CB1937" w:rsidRDefault="00D27901" w:rsidP="00804D07">
      <w:pPr>
        <w:spacing w:line="240" w:lineRule="auto"/>
        <w:rPr>
          <w:u w:val="single"/>
        </w:rPr>
      </w:pPr>
      <w:hyperlink r:id="rId11" w:history="1">
        <w:r w:rsidRPr="00D27901">
          <w:rPr>
            <w:rStyle w:val="Lienhypertexte"/>
          </w:rPr>
          <w:t>Décision,</w:t>
        </w:r>
        <w:r w:rsidR="00CB1937" w:rsidRPr="00D27901">
          <w:rPr>
            <w:rStyle w:val="Lienhypertexte"/>
          </w:rPr>
          <w:t xml:space="preserve"> </w:t>
        </w:r>
        <w:r w:rsidR="00CB1937" w:rsidRPr="00D27901">
          <w:rPr>
            <w:rStyle w:val="Lienhypertexte"/>
            <w:i/>
            <w:iCs/>
          </w:rPr>
          <w:t>Rose Modong Samuel and Three Others (Represented by John Gerry &amp; Co. Legal Practitioners) v. South Sudan</w:t>
        </w:r>
        <w:r w:rsidR="00CB1937" w:rsidRPr="00D27901">
          <w:rPr>
            <w:rStyle w:val="Lienhypertexte"/>
          </w:rPr>
          <w:t>, 18 n</w:t>
        </w:r>
        <w:r w:rsidR="00013C30" w:rsidRPr="00D27901">
          <w:rPr>
            <w:rStyle w:val="Lienhypertexte"/>
          </w:rPr>
          <w:t>o</w:t>
        </w:r>
        <w:r w:rsidR="00CB1937" w:rsidRPr="00D27901">
          <w:rPr>
            <w:rStyle w:val="Lienhypertexte"/>
          </w:rPr>
          <w:t>v</w:t>
        </w:r>
        <w:r w:rsidRPr="00D27901">
          <w:rPr>
            <w:rStyle w:val="Lienhypertexte"/>
          </w:rPr>
          <w:t>embre</w:t>
        </w:r>
        <w:r w:rsidR="00CB1937" w:rsidRPr="00D27901">
          <w:rPr>
            <w:rStyle w:val="Lienhypertexte"/>
          </w:rPr>
          <w:t xml:space="preserve"> 2025,</w:t>
        </w:r>
        <w:r w:rsidR="008A17C8">
          <w:rPr>
            <w:rStyle w:val="Lienhypertexte"/>
          </w:rPr>
          <w:t xml:space="preserve"> fond,</w:t>
        </w:r>
        <w:r w:rsidR="00CB1937" w:rsidRPr="00D27901">
          <w:rPr>
            <w:rStyle w:val="Lienhypertexte"/>
          </w:rPr>
          <w:t xml:space="preserve"> </w:t>
        </w:r>
        <w:r w:rsidRPr="00D27901">
          <w:rPr>
            <w:rStyle w:val="Lienhypertexte"/>
          </w:rPr>
          <w:t>Communication 796/22</w:t>
        </w:r>
        <w:r w:rsidRPr="00D27901">
          <w:rPr>
            <w:rStyle w:val="Lienhypertexte"/>
          </w:rPr>
          <w:t>.</w:t>
        </w:r>
      </w:hyperlink>
    </w:p>
    <w:p w14:paraId="27B11C7D" w14:textId="3EB1CF21" w:rsidR="00A57142" w:rsidRDefault="00EF2635" w:rsidP="00804D07">
      <w:pPr>
        <w:spacing w:line="240" w:lineRule="auto"/>
      </w:pPr>
      <w:r>
        <w:t xml:space="preserve">La victime a subi du harcèlement de la part d’un individu protégé par des soldats pour qu’elle quitte sa propriété. Les plaignants </w:t>
      </w:r>
      <w:r w:rsidR="00316E10">
        <w:t>allèguent</w:t>
      </w:r>
      <w:r>
        <w:t xml:space="preserve"> que les forces de police ainsi que des représentants de la justice étaient corrompus et n’ont pas aidé la victime alors que celle-ci faisait l’objet d’un harcèlement, ainsi que de violences. </w:t>
      </w:r>
    </w:p>
    <w:p w14:paraId="6152E13A" w14:textId="44B485D5" w:rsidR="00BC41AF" w:rsidRDefault="00C13641" w:rsidP="00804D07">
      <w:pPr>
        <w:spacing w:line="240" w:lineRule="auto"/>
      </w:pPr>
      <w:r>
        <w:t>Rappelant que la nécessité d’épuiser les voies de recours interne</w:t>
      </w:r>
      <w:r w:rsidR="00DA1E08">
        <w:t>s</w:t>
      </w:r>
      <w:r>
        <w:t xml:space="preserve"> s’évalu</w:t>
      </w:r>
      <w:r w:rsidR="00010E74">
        <w:t>e</w:t>
      </w:r>
      <w:r>
        <w:t xml:space="preserve"> au cas par cas (§73), et que cette règle d’admissibilité n’a à s’appliquer que dans les cas o</w:t>
      </w:r>
      <w:r w:rsidR="00DA1E08">
        <w:t>ù</w:t>
      </w:r>
      <w:r>
        <w:t xml:space="preserve"> lesdits recours sont disponibles, effectifs et suffisants (§78), </w:t>
      </w:r>
      <w:r w:rsidR="00010413">
        <w:t>l</w:t>
      </w:r>
      <w:r w:rsidR="00010413" w:rsidRPr="00010413">
        <w:t xml:space="preserve">a Commission </w:t>
      </w:r>
      <w:r w:rsidR="00010413">
        <w:t xml:space="preserve">a </w:t>
      </w:r>
      <w:r w:rsidR="00010413" w:rsidRPr="00010413">
        <w:t>estimé</w:t>
      </w:r>
      <w:r w:rsidR="00010413" w:rsidRPr="00010413">
        <w:t xml:space="preserve"> que les blocages, les arrestations et le refus d'accès </w:t>
      </w:r>
      <w:r w:rsidR="00BC41AF">
        <w:t xml:space="preserve">à la justice </w:t>
      </w:r>
      <w:r w:rsidR="00010413" w:rsidRPr="00010413">
        <w:t>par les institutions et les fonctionnaires de l'État défendeur ont empêché les plaignants d'épuiser les recours locaux</w:t>
      </w:r>
      <w:r w:rsidR="00010413">
        <w:t xml:space="preserve"> (§84)</w:t>
      </w:r>
      <w:r w:rsidR="00010413" w:rsidRPr="00010413">
        <w:t>.</w:t>
      </w:r>
      <w:r w:rsidR="00010413">
        <w:t xml:space="preserve"> </w:t>
      </w:r>
    </w:p>
    <w:p w14:paraId="0B0F3568" w14:textId="3E6974FA" w:rsidR="00EF2635" w:rsidRDefault="00010413" w:rsidP="00804D07">
      <w:pPr>
        <w:spacing w:line="240" w:lineRule="auto"/>
      </w:pPr>
      <w:r>
        <w:t>La Commission a</w:t>
      </w:r>
      <w:r w:rsidR="00BC41AF">
        <w:t xml:space="preserve">, </w:t>
      </w:r>
      <w:r>
        <w:t>du reste</w:t>
      </w:r>
      <w:r w:rsidR="00BC41AF">
        <w:t>,</w:t>
      </w:r>
      <w:r>
        <w:t xml:space="preserve"> été déclarée admissible (§91).</w:t>
      </w:r>
    </w:p>
    <w:p w14:paraId="19E9074D" w14:textId="794BCAFE" w:rsidR="00EF2635" w:rsidRDefault="00AA4071" w:rsidP="00804D07">
      <w:pPr>
        <w:spacing w:line="240" w:lineRule="auto"/>
      </w:pPr>
      <w:r>
        <w:t>S’agissant des violations des articles 2 et 3 de la Charte, la Commission a constaté que l’État défendeur n’avait pas protégé les victimes de la destruction de leur propriété alors même qu</w:t>
      </w:r>
      <w:r w:rsidR="00E14B23">
        <w:t xml:space="preserve">’il avait reçu des alertes sur les menaces qui pesaient sur </w:t>
      </w:r>
      <w:r w:rsidR="00DA1E08">
        <w:t>elles</w:t>
      </w:r>
      <w:r w:rsidR="00E14B23">
        <w:t xml:space="preserve"> (§145). </w:t>
      </w:r>
      <w:r w:rsidR="00BC41AF">
        <w:t>E</w:t>
      </w:r>
      <w:r w:rsidR="00E14B23">
        <w:t>lle a</w:t>
      </w:r>
      <w:r w:rsidR="00BC41AF">
        <w:t xml:space="preserve"> par ailleurs </w:t>
      </w:r>
      <w:r w:rsidR="00E14B23">
        <w:t xml:space="preserve">réaffirmé que les obligations découlant de ces articles imposent </w:t>
      </w:r>
      <w:r w:rsidR="00C84CFD">
        <w:t xml:space="preserve">également </w:t>
      </w:r>
      <w:r w:rsidR="00E14B23">
        <w:t xml:space="preserve">aux États </w:t>
      </w:r>
      <w:r w:rsidR="00C84CFD">
        <w:t xml:space="preserve">de protéger les </w:t>
      </w:r>
      <w:r w:rsidR="00BC41AF">
        <w:t>individus</w:t>
      </w:r>
      <w:r w:rsidR="00C84CFD">
        <w:t xml:space="preserve"> contre des dommages commis par des acteurs privés (§152). Ainsi, la différence de traitement entre l’individu coupable d’avoir harcelé, agressé et détruit l</w:t>
      </w:r>
      <w:r w:rsidR="00BC41AF">
        <w:t>a</w:t>
      </w:r>
      <w:r w:rsidR="00C84CFD">
        <w:t xml:space="preserve"> propriété</w:t>
      </w:r>
      <w:r w:rsidR="00BC41AF" w:rsidRPr="00BC41AF">
        <w:t xml:space="preserve"> </w:t>
      </w:r>
      <w:r w:rsidR="00BC41AF">
        <w:t>d</w:t>
      </w:r>
      <w:r w:rsidR="00BC41AF">
        <w:t>es victimes</w:t>
      </w:r>
      <w:r w:rsidR="00C84CFD">
        <w:t>, et ces dernières, constitue une violation des article</w:t>
      </w:r>
      <w:r w:rsidR="00DA1E08">
        <w:t>s</w:t>
      </w:r>
      <w:r w:rsidR="00C84CFD">
        <w:t xml:space="preserve"> 2 et 3 de la Charte (§155).</w:t>
      </w:r>
    </w:p>
    <w:p w14:paraId="2EAEA798" w14:textId="078642CE" w:rsidR="00E8352F" w:rsidRDefault="00E8352F" w:rsidP="00804D07">
      <w:pPr>
        <w:spacing w:line="240" w:lineRule="auto"/>
      </w:pPr>
      <w:r>
        <w:t xml:space="preserve">S’agissant de l’article 5 la Commission a </w:t>
      </w:r>
      <w:r w:rsidR="00BC41AF">
        <w:t>rappelé</w:t>
      </w:r>
      <w:r>
        <w:t xml:space="preserve"> sa décision </w:t>
      </w:r>
      <w:r>
        <w:rPr>
          <w:i/>
          <w:iCs/>
        </w:rPr>
        <w:t xml:space="preserve">COHRE c. Soudan </w:t>
      </w:r>
      <w:r>
        <w:t xml:space="preserve">dans laquelle </w:t>
      </w:r>
      <w:r w:rsidR="00BC41AF">
        <w:t xml:space="preserve">elle </w:t>
      </w:r>
      <w:r>
        <w:t>s’est aligné</w:t>
      </w:r>
      <w:r w:rsidR="00BC41AF">
        <w:t>e</w:t>
      </w:r>
      <w:r>
        <w:t xml:space="preserve"> sur les observations du Comité des Nations-Unies contre la torture</w:t>
      </w:r>
      <w:r w:rsidR="00BC41AF">
        <w:t>. S</w:t>
      </w:r>
      <w:r>
        <w:t xml:space="preserve">elon </w:t>
      </w:r>
      <w:r w:rsidR="00BC41AF">
        <w:t>lui :</w:t>
      </w:r>
      <w:r>
        <w:t xml:space="preserve"> « </w:t>
      </w:r>
      <w:r w:rsidRPr="00E8352F">
        <w:t>les expulsions forcées et la destruction de logements par des acteurs non étatiques constituent des traitements ou des peines cruels, inhumains et dégradants</w:t>
      </w:r>
      <w:r>
        <w:t> » (§170). La violation de l’article 5 est donc établie.</w:t>
      </w:r>
    </w:p>
    <w:p w14:paraId="3026EEF0" w14:textId="1CE43EB4" w:rsidR="00E8352F" w:rsidRDefault="003B07EA" w:rsidP="00804D07">
      <w:pPr>
        <w:spacing w:line="240" w:lineRule="auto"/>
      </w:pPr>
      <w:r>
        <w:t xml:space="preserve">La Commission a </w:t>
      </w:r>
      <w:r w:rsidR="00BC41AF">
        <w:t>rappelé</w:t>
      </w:r>
      <w:r w:rsidR="00E8352F">
        <w:t xml:space="preserve"> sa reconnaissance du droit au logement par une lecture conjointe des articles 14, 16(1) et 18(1) et (3) de la Charte dans sa décision </w:t>
      </w:r>
      <w:r w:rsidR="00E8352F">
        <w:rPr>
          <w:i/>
          <w:iCs/>
        </w:rPr>
        <w:t>SERAC &amp; CESR c. Nigéria</w:t>
      </w:r>
      <w:r>
        <w:t xml:space="preserve"> (§172).  Elle a également rappelé sa décision </w:t>
      </w:r>
      <w:r w:rsidRPr="003B07EA">
        <w:rPr>
          <w:i/>
          <w:iCs/>
        </w:rPr>
        <w:t>Zimbabwe Human Rights NGO Forum</w:t>
      </w:r>
      <w:r>
        <w:rPr>
          <w:i/>
          <w:iCs/>
        </w:rPr>
        <w:t xml:space="preserve"> c. Zimbabwe</w:t>
      </w:r>
      <w:r>
        <w:t xml:space="preserve"> dans laquelle elle affirme que même si les actes privés ne sont pas directement imputables à l’État, </w:t>
      </w:r>
      <w:r w:rsidRPr="003B07EA">
        <w:t>le manque de diligence raisonnable de la part de l'État pour prévenir la violation ou pour ne pas avoir pris les mesures nécessaires afin d'offrir une réparation aux victimes</w:t>
      </w:r>
      <w:r>
        <w:t xml:space="preserve"> peut l’être (§180).</w:t>
      </w:r>
      <w:r w:rsidR="003569BD">
        <w:t xml:space="preserve"> Elle a ainsi considéré que l’État défendeur avait </w:t>
      </w:r>
      <w:r w:rsidR="007D55DB">
        <w:t>violé le droit de propriété des victimes relativement à la destruction de leur propriété. En revanche, la sai</w:t>
      </w:r>
      <w:r w:rsidR="00DA1E08">
        <w:t>si</w:t>
      </w:r>
      <w:r w:rsidR="007D55DB">
        <w:t>e d’un passeport délivré par l’État défendeur n’a pas été considérée comme une atteinte aux droits garantis par l’article 14 (§183).</w:t>
      </w:r>
      <w:r w:rsidR="00911550">
        <w:t xml:space="preserve"> Elle a en outre</w:t>
      </w:r>
      <w:r w:rsidR="00C053EC">
        <w:t xml:space="preserve"> considéré que les articles 16 et 18 (1) et (3) avai</w:t>
      </w:r>
      <w:r w:rsidR="00DA1E08">
        <w:t>en</w:t>
      </w:r>
      <w:r w:rsidR="00C053EC">
        <w:t>t été violé</w:t>
      </w:r>
      <w:r w:rsidR="00DA1E08">
        <w:t>s</w:t>
      </w:r>
      <w:r w:rsidR="00C053EC">
        <w:t xml:space="preserve"> par l’État défendeur (§194).</w:t>
      </w:r>
    </w:p>
    <w:p w14:paraId="5176D335" w14:textId="1B945045" w:rsidR="003C110E" w:rsidRDefault="003C110E" w:rsidP="00804D07">
      <w:pPr>
        <w:spacing w:line="240" w:lineRule="auto"/>
      </w:pPr>
      <w:r>
        <w:lastRenderedPageBreak/>
        <w:t>S’</w:t>
      </w:r>
      <w:r w:rsidR="005B0607">
        <w:t>agissant</w:t>
      </w:r>
      <w:r w:rsidR="00E951A3">
        <w:t xml:space="preserve"> de l’article 6 la Commission a considéré que l’arrestation de l’avocat de la victime </w:t>
      </w:r>
      <w:r w:rsidR="00E951A3" w:rsidRPr="00E951A3">
        <w:t>sans l'informer du motif de son arrestation ni lui signifier aucune accusation d'infraction, n'était pas conforme aux exigences de la Constitution de l'État défendeur</w:t>
      </w:r>
      <w:r w:rsidR="00E951A3">
        <w:t xml:space="preserve"> ainsi qu’à la CADHP (§204). </w:t>
      </w:r>
    </w:p>
    <w:p w14:paraId="34AA363B" w14:textId="69676BF8" w:rsidR="005B0607" w:rsidRDefault="005B0607" w:rsidP="00804D07">
      <w:pPr>
        <w:spacing w:line="240" w:lineRule="auto"/>
      </w:pPr>
      <w:r>
        <w:t>S’agissant de l’article 8, la Commission a affirmé que le terme « profession » contenu dans l’article 8 ne concernait pas le sens professionnel du terme mais bien religieu</w:t>
      </w:r>
      <w:r w:rsidR="00BC41AF">
        <w:t>x</w:t>
      </w:r>
      <w:r>
        <w:t xml:space="preserve">. Elle a néanmoins considéré que </w:t>
      </w:r>
      <w:r w:rsidRPr="005B0607">
        <w:t>la levée de l'immunité de l'avocat a</w:t>
      </w:r>
      <w:r>
        <w:t>yant</w:t>
      </w:r>
      <w:r w:rsidRPr="005B0607">
        <w:t xml:space="preserve"> entraîné son arrestation, a porté atteinte à sa liberté d'exercer toutes ses fonctions professionnelles </w:t>
      </w:r>
      <w:r>
        <w:t xml:space="preserve">et constitue donc une violation de l’article 10 de la Charte (§213). </w:t>
      </w:r>
    </w:p>
    <w:p w14:paraId="0960A881" w14:textId="4F51EC74" w:rsidR="0025256F" w:rsidRDefault="0025256F" w:rsidP="00804D07">
      <w:pPr>
        <w:spacing w:line="240" w:lineRule="auto"/>
      </w:pPr>
      <w:r>
        <w:t>En outre, la Commission a non seulement considéré que l’expulsion forcé</w:t>
      </w:r>
      <w:r w:rsidR="0097249E">
        <w:t>e</w:t>
      </w:r>
      <w:r>
        <w:t xml:space="preserve"> des victimes de leur domicile mais également que la saisie du passeport de l’avocat, constituaient des atteintes à l’article 12 de la Charte (§219).  </w:t>
      </w:r>
    </w:p>
    <w:p w14:paraId="6229FD8F" w14:textId="7FF1520E" w:rsidR="007718B2" w:rsidRDefault="00065842" w:rsidP="00804D07">
      <w:pPr>
        <w:spacing w:line="240" w:lineRule="auto"/>
      </w:pPr>
      <w:r>
        <w:t xml:space="preserve">La Commission a par ailleurs constaté que </w:t>
      </w:r>
      <w:r w:rsidRPr="00065842">
        <w:t>l'avocat des plaignants a été arrêté afin de le contraindre à se retirer de l'affaire, que les procédures judiciaires engagées par les plaignants ont été bloquées</w:t>
      </w:r>
      <w:r>
        <w:t xml:space="preserve"> et que</w:t>
      </w:r>
      <w:r w:rsidRPr="00065842">
        <w:t xml:space="preserve"> les unités des forces armées qui ont commis les violations bénéficient d'une immunité générale</w:t>
      </w:r>
      <w:r>
        <w:t xml:space="preserve"> (§229). Rappelant sa décision </w:t>
      </w:r>
      <w:r w:rsidR="007718B2">
        <w:rPr>
          <w:i/>
          <w:iCs/>
        </w:rPr>
        <w:t>Egyptian initative for Personal Rights &amp; INTERIGHTS c. Égypte</w:t>
      </w:r>
      <w:r w:rsidR="007718B2">
        <w:t xml:space="preserve">, elle a confirmé que </w:t>
      </w:r>
      <w:r w:rsidR="007718B2" w:rsidRPr="007718B2">
        <w:t>lorsque les lois nationales d'un État présentent des lacunes procédurales qui empêchent cet État de remplir ses obligations à cet égard, il en résulte une violation des articles 7 et 26</w:t>
      </w:r>
      <w:r w:rsidR="007718B2">
        <w:t xml:space="preserve"> (§234).</w:t>
      </w:r>
    </w:p>
    <w:p w14:paraId="760EA514" w14:textId="14E8FC7A" w:rsidR="007718B2" w:rsidRPr="007718B2" w:rsidRDefault="007718B2" w:rsidP="00804D07">
      <w:pPr>
        <w:spacing w:line="240" w:lineRule="auto"/>
      </w:pPr>
      <w:r>
        <w:t>Elle a enfin reconnu une violation de l’article 25 de la Charte dans la mesure ou l’État du Soudan du Sud n’a pas formé ses agents de sécurité sur les droits humains (§238).</w:t>
      </w:r>
    </w:p>
    <w:p w14:paraId="7476BE0C" w14:textId="77777777" w:rsidR="00CB1937" w:rsidRPr="00714D29" w:rsidRDefault="00CB1937" w:rsidP="00804D07">
      <w:pPr>
        <w:spacing w:line="240" w:lineRule="auto"/>
        <w:rPr>
          <w:u w:val="single"/>
        </w:rPr>
      </w:pPr>
    </w:p>
    <w:p w14:paraId="6764B1AA" w14:textId="2FFA844E" w:rsidR="00CB1937" w:rsidRDefault="00CB1937" w:rsidP="00804D07">
      <w:pPr>
        <w:spacing w:line="240" w:lineRule="auto"/>
        <w:rPr>
          <w:b/>
          <w:bCs/>
          <w:u w:val="single"/>
        </w:rPr>
      </w:pPr>
      <w:r w:rsidRPr="006A4286">
        <w:rPr>
          <w:b/>
          <w:bCs/>
          <w:u w:val="single"/>
        </w:rPr>
        <w:t>78</w:t>
      </w:r>
      <w:r w:rsidR="00435452" w:rsidRPr="00435452">
        <w:rPr>
          <w:b/>
          <w:bCs/>
          <w:u w:val="single"/>
          <w:vertAlign w:val="superscript"/>
        </w:rPr>
        <w:t>ème</w:t>
      </w:r>
      <w:r w:rsidR="00435452">
        <w:rPr>
          <w:b/>
          <w:bCs/>
          <w:u w:val="single"/>
        </w:rPr>
        <w:t xml:space="preserve"> </w:t>
      </w:r>
      <w:r w:rsidR="00435452">
        <w:rPr>
          <w:b/>
          <w:bCs/>
          <w:u w:val="single"/>
        </w:rPr>
        <w:t>session ordinaire</w:t>
      </w:r>
      <w:r w:rsidR="00435452">
        <w:rPr>
          <w:b/>
          <w:bCs/>
          <w:u w:val="single"/>
        </w:rPr>
        <w:t xml:space="preserve"> </w:t>
      </w:r>
      <w:r>
        <w:rPr>
          <w:b/>
          <w:bCs/>
          <w:u w:val="single"/>
        </w:rPr>
        <w:t>:</w:t>
      </w:r>
    </w:p>
    <w:p w14:paraId="1D00AE63" w14:textId="76DC916E" w:rsidR="00CB1937" w:rsidRDefault="008A17C8" w:rsidP="00804D07">
      <w:pPr>
        <w:spacing w:line="240" w:lineRule="auto"/>
        <w:rPr>
          <w:u w:val="single"/>
        </w:rPr>
      </w:pPr>
      <w:hyperlink r:id="rId12" w:history="1">
        <w:r w:rsidR="00D27901" w:rsidRPr="008A17C8">
          <w:rPr>
            <w:rStyle w:val="Lienhypertexte"/>
          </w:rPr>
          <w:t xml:space="preserve">Décision, </w:t>
        </w:r>
        <w:r w:rsidR="00CB1937" w:rsidRPr="008A17C8">
          <w:rPr>
            <w:rStyle w:val="Lienhypertexte"/>
            <w:i/>
            <w:iCs/>
          </w:rPr>
          <w:t>Justin NDOUNDANGOYE (represente par Maitre Calvin JOB) c. la Republique du Gabon</w:t>
        </w:r>
        <w:r w:rsidR="00CB1937" w:rsidRPr="008A17C8">
          <w:rPr>
            <w:rStyle w:val="Lienhypertexte"/>
          </w:rPr>
          <w:t>, 6 nov</w:t>
        </w:r>
        <w:r w:rsidRPr="008A17C8">
          <w:rPr>
            <w:rStyle w:val="Lienhypertexte"/>
          </w:rPr>
          <w:t>embre</w:t>
        </w:r>
        <w:r w:rsidR="00CB1937" w:rsidRPr="008A17C8">
          <w:rPr>
            <w:rStyle w:val="Lienhypertexte"/>
          </w:rPr>
          <w:t xml:space="preserve"> 2025, </w:t>
        </w:r>
        <w:r w:rsidRPr="008A17C8">
          <w:rPr>
            <w:rStyle w:val="Lienhypertexte"/>
          </w:rPr>
          <w:t xml:space="preserve">irrecevabilité, </w:t>
        </w:r>
        <w:r w:rsidR="00D27901" w:rsidRPr="008A17C8">
          <w:rPr>
            <w:rStyle w:val="Lienhypertexte"/>
          </w:rPr>
          <w:t>Communication 744/20</w:t>
        </w:r>
        <w:r w:rsidRPr="008A17C8">
          <w:rPr>
            <w:rStyle w:val="Lienhypertexte"/>
          </w:rPr>
          <w:t>.</w:t>
        </w:r>
      </w:hyperlink>
    </w:p>
    <w:p w14:paraId="14E686B4" w14:textId="34E77EE7" w:rsidR="00316E10" w:rsidRDefault="003C33EB" w:rsidP="00804D07">
      <w:pPr>
        <w:spacing w:line="240" w:lineRule="auto"/>
      </w:pPr>
      <w:r>
        <w:t>Le plaignant allègue d’</w:t>
      </w:r>
      <w:r w:rsidR="0097249E">
        <w:t>avoir été victime d’une arrestation</w:t>
      </w:r>
      <w:r>
        <w:t xml:space="preserve"> et d</w:t>
      </w:r>
      <w:r w:rsidR="0097249E">
        <w:t>’une</w:t>
      </w:r>
      <w:r>
        <w:t xml:space="preserve"> détention arbitraire sur des fondements politiques. Il allègue de différentes violations de </w:t>
      </w:r>
      <w:r w:rsidR="0097249E">
        <w:t>s</w:t>
      </w:r>
      <w:r>
        <w:t xml:space="preserve">es droits dans le cadre de la procédure judiciaire le visant. </w:t>
      </w:r>
    </w:p>
    <w:p w14:paraId="4CA44DAE" w14:textId="618AEE1F" w:rsidR="00A02FDA" w:rsidRPr="00A02FDA" w:rsidRDefault="00A02FDA" w:rsidP="00804D07">
      <w:pPr>
        <w:spacing w:line="240" w:lineRule="auto"/>
      </w:pPr>
      <w:r>
        <w:t xml:space="preserve">Rappelant sa décision </w:t>
      </w:r>
      <w:r>
        <w:rPr>
          <w:i/>
          <w:iCs/>
        </w:rPr>
        <w:t>Article 19 c. Érythrée</w:t>
      </w:r>
      <w:r>
        <w:t xml:space="preserve">, </w:t>
      </w:r>
      <w:r w:rsidR="000B2709">
        <w:t>la Commission</w:t>
      </w:r>
      <w:r>
        <w:t xml:space="preserve"> a affirmé que « </w:t>
      </w:r>
      <w:r w:rsidRPr="00A02FDA">
        <w:t>de simples doutes s</w:t>
      </w:r>
      <w:r>
        <w:t>ur l’e</w:t>
      </w:r>
      <w:r w:rsidRPr="00A02FDA">
        <w:t>fficacité</w:t>
      </w:r>
      <w:r w:rsidRPr="00A02FDA">
        <w:t xml:space="preserve"> des voies de recours internes ... ne dispensaient pas un auteur d'exercer de telles voies de recours »</w:t>
      </w:r>
      <w:r>
        <w:t xml:space="preserve"> (§96)</w:t>
      </w:r>
      <w:r w:rsidR="000B2709">
        <w:t>.</w:t>
      </w:r>
      <w:r>
        <w:t xml:space="preserve"> la Commission a </w:t>
      </w:r>
      <w:r w:rsidR="000B2709">
        <w:t xml:space="preserve">donc </w:t>
      </w:r>
      <w:r>
        <w:t xml:space="preserve">considéré la communication irrecevable au titre de l’article 56(5) de la Charte. Elle a en outre considéré que la demande n’avait pas été transmise dans un délai raisonnable (§100). </w:t>
      </w:r>
    </w:p>
    <w:p w14:paraId="3E2EC775" w14:textId="338E4C35" w:rsidR="00CB1937" w:rsidRDefault="008A17C8" w:rsidP="00804D07">
      <w:pPr>
        <w:spacing w:line="240" w:lineRule="auto"/>
        <w:rPr>
          <w:u w:val="single"/>
        </w:rPr>
      </w:pPr>
      <w:hyperlink r:id="rId13" w:history="1">
        <w:r w:rsidRPr="008A17C8">
          <w:rPr>
            <w:rStyle w:val="Lienhypertexte"/>
          </w:rPr>
          <w:t xml:space="preserve">Décision, </w:t>
        </w:r>
        <w:r w:rsidR="00CB1937" w:rsidRPr="008A17C8">
          <w:rPr>
            <w:rStyle w:val="Lienhypertexte"/>
            <w:i/>
            <w:iCs/>
          </w:rPr>
          <w:t>Berhane Abrehe Kidane (represented by Solomon Weldekirstos and Eritrean Law Society) v. Eritrea</w:t>
        </w:r>
        <w:r w:rsidR="00CB1937" w:rsidRPr="008A17C8">
          <w:rPr>
            <w:rStyle w:val="Lienhypertexte"/>
          </w:rPr>
          <w:t>, 6 nov</w:t>
        </w:r>
        <w:r w:rsidRPr="008A17C8">
          <w:rPr>
            <w:rStyle w:val="Lienhypertexte"/>
          </w:rPr>
          <w:t>embre</w:t>
        </w:r>
        <w:r w:rsidR="00CB1937" w:rsidRPr="008A17C8">
          <w:rPr>
            <w:rStyle w:val="Lienhypertexte"/>
          </w:rPr>
          <w:t xml:space="preserve"> 2025, </w:t>
        </w:r>
        <w:r w:rsidRPr="008A17C8">
          <w:rPr>
            <w:rStyle w:val="Lienhypertexte"/>
          </w:rPr>
          <w:t xml:space="preserve">fond, </w:t>
        </w:r>
        <w:r w:rsidRPr="008A17C8">
          <w:rPr>
            <w:rStyle w:val="Lienhypertexte"/>
          </w:rPr>
          <w:t>Communication 704/18</w:t>
        </w:r>
        <w:r w:rsidRPr="008A17C8">
          <w:rPr>
            <w:rStyle w:val="Lienhypertexte"/>
          </w:rPr>
          <w:t>.</w:t>
        </w:r>
      </w:hyperlink>
    </w:p>
    <w:p w14:paraId="6D98E69C" w14:textId="266BD3C3" w:rsidR="00C376AD" w:rsidRDefault="00C376AD" w:rsidP="00804D07">
      <w:pPr>
        <w:spacing w:line="240" w:lineRule="auto"/>
        <w:rPr>
          <w:szCs w:val="24"/>
        </w:rPr>
      </w:pPr>
      <w:r>
        <w:t>Le plaignant a été arrêté et mis en détention arbitrairement sur des motifs politiques, notamment lié</w:t>
      </w:r>
      <w:r w:rsidR="0097249E">
        <w:t>s</w:t>
      </w:r>
      <w:r>
        <w:t xml:space="preserve"> à son ancienne fonction de Ministre et </w:t>
      </w:r>
      <w:r w:rsidR="0097249E">
        <w:t>à ses</w:t>
      </w:r>
      <w:r>
        <w:t xml:space="preserve"> activités critiques à l’égard du gouvernement en place.</w:t>
      </w:r>
    </w:p>
    <w:p w14:paraId="7B74D539" w14:textId="451340F8" w:rsidR="002C0253" w:rsidRDefault="00504DBF" w:rsidP="00804D07">
      <w:pPr>
        <w:spacing w:line="240" w:lineRule="auto"/>
      </w:pPr>
      <w:r>
        <w:t xml:space="preserve">Même si la Commission n’a pas accueilli les moyens développés par le plaignant elle a tout de même </w:t>
      </w:r>
      <w:r w:rsidR="004A19B4">
        <w:t xml:space="preserve">réaffirmé que dans les cas de détention arbitraire il revenait à l’État partie de prendre des mesures concrètes pour présenter le détenu devant des juridictions compétentes (§56). Ainsi, </w:t>
      </w:r>
      <w:r w:rsidR="004A19B4" w:rsidRPr="004A19B4">
        <w:t xml:space="preserve">en l'absence de mesures concrètes </w:t>
      </w:r>
      <w:r w:rsidR="004A19B4">
        <w:t>prises par</w:t>
      </w:r>
      <w:r w:rsidR="004A19B4" w:rsidRPr="004A19B4">
        <w:t xml:space="preserve"> l'État </w:t>
      </w:r>
      <w:r w:rsidR="004A19B4">
        <w:t xml:space="preserve">défendeur </w:t>
      </w:r>
      <w:r w:rsidR="004A19B4" w:rsidRPr="004A19B4">
        <w:t>pour traduire la victime en justice ou lui permettre de consulter ses représentants légaux deux ans après son arrestation et sa détention</w:t>
      </w:r>
      <w:r w:rsidR="000B2709">
        <w:t>,</w:t>
      </w:r>
      <w:r w:rsidR="004A19B4">
        <w:t xml:space="preserve"> </w:t>
      </w:r>
      <w:r w:rsidR="000B2709">
        <w:t>l</w:t>
      </w:r>
      <w:r w:rsidR="004A19B4" w:rsidRPr="004A19B4">
        <w:t xml:space="preserve">a </w:t>
      </w:r>
      <w:r w:rsidR="004A19B4" w:rsidRPr="004A19B4">
        <w:lastRenderedPageBreak/>
        <w:t xml:space="preserve">Commission africaine </w:t>
      </w:r>
      <w:r w:rsidR="004A19B4">
        <w:t>a considéré</w:t>
      </w:r>
      <w:r w:rsidR="004A19B4" w:rsidRPr="004A19B4">
        <w:t xml:space="preserve"> que les recours internes, même s'ils existent, ne sont ni efficaces ni suffisants</w:t>
      </w:r>
      <w:r w:rsidR="004A19B4">
        <w:t xml:space="preserve"> (§61).</w:t>
      </w:r>
      <w:r w:rsidR="00BB2CA4">
        <w:t xml:space="preserve"> Du reste elle a considéré la communication recevable (§71).</w:t>
      </w:r>
    </w:p>
    <w:p w14:paraId="05763F1B" w14:textId="351BBC66" w:rsidR="00BB2CA4" w:rsidRDefault="00BB2CA4" w:rsidP="00804D07">
      <w:pPr>
        <w:spacing w:line="240" w:lineRule="auto"/>
      </w:pPr>
      <w:r>
        <w:t xml:space="preserve">S’agissant de l’article 3 la Commission a d’abord démontré que l’enjeu de son appréciation ne reposait pas sur l’existence d’une loi imposant formellement un régime différencié pour les opposants mais dans </w:t>
      </w:r>
      <w:r w:rsidR="000B2709">
        <w:t>l’</w:t>
      </w:r>
      <w:r w:rsidR="00703E20">
        <w:t>application</w:t>
      </w:r>
      <w:r w:rsidR="000B2709">
        <w:t xml:space="preserve"> de la loi générale</w:t>
      </w:r>
      <w:r w:rsidR="00703E20">
        <w:t xml:space="preserve"> (§100). Dans un tel cas les victimes sont tenues de fournir un élément </w:t>
      </w:r>
      <w:r w:rsidR="000B2709">
        <w:t>d</w:t>
      </w:r>
      <w:r w:rsidR="00703E20">
        <w:t xml:space="preserve">e comparaison plausible (§101). Or, la Commission a considéré que la communication avait effectivement démontré le traitement différencié </w:t>
      </w:r>
      <w:r w:rsidR="000B2709">
        <w:t>subi par la victime</w:t>
      </w:r>
      <w:r w:rsidR="00703E20">
        <w:t xml:space="preserve"> en fonction de ses opinions politiques (§106)</w:t>
      </w:r>
      <w:r w:rsidR="000B2709">
        <w:t xml:space="preserve">. De </w:t>
      </w:r>
      <w:r w:rsidR="00703E20">
        <w:t>ce fait</w:t>
      </w:r>
      <w:r w:rsidR="000B2709">
        <w:t>,</w:t>
      </w:r>
      <w:r w:rsidR="00703E20">
        <w:t xml:space="preserve"> les articles 2 et 3 </w:t>
      </w:r>
      <w:r w:rsidR="000B2709">
        <w:t>ont</w:t>
      </w:r>
      <w:r w:rsidR="00703E20">
        <w:t xml:space="preserve"> été violés par l’État défendeur (§108).</w:t>
      </w:r>
    </w:p>
    <w:p w14:paraId="22F1A7B2" w14:textId="38F9B6FC" w:rsidR="00703E20" w:rsidRDefault="00703E20" w:rsidP="00804D07">
      <w:pPr>
        <w:spacing w:line="240" w:lineRule="auto"/>
      </w:pPr>
      <w:r>
        <w:t>Rappelant qu’une violation de l’article 4 peut être constituée sans que nécessairement la mort n’ait résulté des actes attaqués (§113), elle a considéré que les conditions de détention de la victime, compte tenu de ses problèmes de santé</w:t>
      </w:r>
      <w:r w:rsidR="000B2709">
        <w:t>,</w:t>
      </w:r>
      <w:r>
        <w:t xml:space="preserve"> constituai</w:t>
      </w:r>
      <w:r w:rsidR="0097249E">
        <w:t>en</w:t>
      </w:r>
      <w:r>
        <w:t>t une violation de</w:t>
      </w:r>
      <w:r w:rsidR="0097249E">
        <w:t xml:space="preserve">s </w:t>
      </w:r>
      <w:r>
        <w:t>article</w:t>
      </w:r>
      <w:r w:rsidR="0097249E">
        <w:t>s</w:t>
      </w:r>
      <w:r>
        <w:t xml:space="preserve"> 4 et 16(1) de la Charte (§122)</w:t>
      </w:r>
      <w:r w:rsidR="000B2709">
        <w:t>.</w:t>
      </w:r>
    </w:p>
    <w:p w14:paraId="3D0597A4" w14:textId="6FAF62A0" w:rsidR="002C0253" w:rsidRDefault="00A35813" w:rsidP="00804D07">
      <w:pPr>
        <w:spacing w:line="240" w:lineRule="auto"/>
      </w:pPr>
      <w:r>
        <w:t>La Commission après avoir mentionné sa définition de la torture (§127), a considéré que les conditions de détention subi</w:t>
      </w:r>
      <w:r w:rsidR="000B2709">
        <w:t>e</w:t>
      </w:r>
      <w:r>
        <w:t xml:space="preserve">s par la victime ont </w:t>
      </w:r>
      <w:r w:rsidRPr="00A35813">
        <w:t>créé</w:t>
      </w:r>
      <w:r w:rsidRPr="00A35813">
        <w:t xml:space="preserve"> un contexte de pression psychologique tel que cela a caus</w:t>
      </w:r>
      <w:r>
        <w:t>é</w:t>
      </w:r>
      <w:r w:rsidRPr="00A35813">
        <w:t xml:space="preserve"> une souffrance psychologique grave à la victime</w:t>
      </w:r>
      <w:r>
        <w:t xml:space="preserve">, constitutif de torture (§130). Elle a en outre considéré que la détention arbitraire sans accès à un avocat et dans les conditions de santé de la victime relatives à son âge avancé </w:t>
      </w:r>
      <w:r w:rsidR="005C3A01">
        <w:t>constitue</w:t>
      </w:r>
      <w:r>
        <w:t xml:space="preserve"> des traitements inhumains ou dégradants (§135).</w:t>
      </w:r>
    </w:p>
    <w:p w14:paraId="05440BF5" w14:textId="0050391C" w:rsidR="00E8760A" w:rsidRDefault="00E8760A" w:rsidP="00804D07">
      <w:pPr>
        <w:spacing w:line="240" w:lineRule="auto"/>
      </w:pPr>
      <w:r>
        <w:t xml:space="preserve">La Commission a considéré que la détention arbitraire de 25 jours subie par le requérant constituait une atteinte au droit prévu par l’article 6 (§141), et que l’impossibilité pour la victime d’accéder à un tribunal, </w:t>
      </w:r>
      <w:r w:rsidR="005C3A01">
        <w:t xml:space="preserve">constituait </w:t>
      </w:r>
      <w:r>
        <w:t>une violation de l’article 7 (§147).</w:t>
      </w:r>
    </w:p>
    <w:p w14:paraId="7B9F0944" w14:textId="2D99EF2E" w:rsidR="00E8760A" w:rsidRDefault="00E8760A" w:rsidP="00804D07">
      <w:pPr>
        <w:spacing w:line="240" w:lineRule="auto"/>
      </w:pPr>
      <w:r>
        <w:t xml:space="preserve">Elle a en outre constaté que la détention de la victime avait suivi la publication d’un livre critique à l’endroit du Président de l’État d’Érythrée </w:t>
      </w:r>
      <w:r w:rsidR="005C3A01">
        <w:t xml:space="preserve">et que cela </w:t>
      </w:r>
      <w:r>
        <w:t>constituait une atteinte à la liberté d’expression (§155).</w:t>
      </w:r>
    </w:p>
    <w:p w14:paraId="36565C42" w14:textId="057980D8" w:rsidR="00E8760A" w:rsidRDefault="00E8760A" w:rsidP="00804D07">
      <w:pPr>
        <w:spacing w:line="240" w:lineRule="auto"/>
      </w:pPr>
      <w:r>
        <w:t xml:space="preserve">S’agissant de l’article 12, la Commission a considéré que priver un opposant politique de sa liberté de </w:t>
      </w:r>
      <w:r w:rsidR="002E4FAC">
        <w:t>mouvement, et de sa liberté de quitter le pays</w:t>
      </w:r>
      <w:r w:rsidR="005C3A01">
        <w:t>,</w:t>
      </w:r>
      <w:r w:rsidR="002E4FAC">
        <w:t xml:space="preserve"> constituait une atteinte à cet article (§162).</w:t>
      </w:r>
    </w:p>
    <w:p w14:paraId="0AAC3B34" w14:textId="475C714F" w:rsidR="002C0253" w:rsidRPr="002C0253" w:rsidRDefault="002E4FAC" w:rsidP="00804D07">
      <w:pPr>
        <w:spacing w:line="240" w:lineRule="auto"/>
      </w:pPr>
      <w:r>
        <w:t xml:space="preserve">Finalement, la Cour a considéré que la victime devait bénéficier d’une compensation financière, au titre du préjudice immatériel que celle-ci a subi. Le montant des indemnités doit être fixé par les autorités nationales de manière </w:t>
      </w:r>
      <w:r w:rsidRPr="002E4FAC">
        <w:t>équitable, adéquate et proportionnée au préjudic</w:t>
      </w:r>
      <w:r>
        <w:t>e (§183).</w:t>
      </w:r>
    </w:p>
    <w:p w14:paraId="23A6B5E3" w14:textId="2448D69A" w:rsidR="00CB1937" w:rsidRDefault="008A17C8" w:rsidP="00804D07">
      <w:pPr>
        <w:spacing w:line="240" w:lineRule="auto"/>
        <w:rPr>
          <w:u w:val="single"/>
        </w:rPr>
      </w:pPr>
      <w:hyperlink r:id="rId14" w:history="1">
        <w:r w:rsidRPr="008A17C8">
          <w:rPr>
            <w:rStyle w:val="Lienhypertexte"/>
          </w:rPr>
          <w:t>Décision,</w:t>
        </w:r>
        <w:r w:rsidR="00CB1937" w:rsidRPr="008A17C8">
          <w:rPr>
            <w:rStyle w:val="Lienhypertexte"/>
          </w:rPr>
          <w:t xml:space="preserve"> </w:t>
        </w:r>
        <w:r w:rsidR="00CB1937" w:rsidRPr="008A17C8">
          <w:rPr>
            <w:rStyle w:val="Lienhypertexte"/>
            <w:i/>
            <w:iCs/>
          </w:rPr>
          <w:t>Meriam Yahia Ibrahim and three more v. Sudan</w:t>
        </w:r>
        <w:r w:rsidR="00CB1937" w:rsidRPr="008A17C8">
          <w:rPr>
            <w:rStyle w:val="Lienhypertexte"/>
          </w:rPr>
          <w:t>, 6 nov</w:t>
        </w:r>
        <w:r w:rsidRPr="008A17C8">
          <w:rPr>
            <w:rStyle w:val="Lienhypertexte"/>
          </w:rPr>
          <w:t>embre</w:t>
        </w:r>
        <w:r w:rsidR="00CB1937" w:rsidRPr="008A17C8">
          <w:rPr>
            <w:rStyle w:val="Lienhypertexte"/>
          </w:rPr>
          <w:t xml:space="preserve"> 2025, </w:t>
        </w:r>
        <w:r w:rsidRPr="008A17C8">
          <w:rPr>
            <w:rStyle w:val="Lienhypertexte"/>
          </w:rPr>
          <w:t xml:space="preserve">fond, </w:t>
        </w:r>
        <w:r w:rsidR="00CB1937" w:rsidRPr="008A17C8">
          <w:rPr>
            <w:rStyle w:val="Lienhypertexte"/>
          </w:rPr>
          <w:t xml:space="preserve"> </w:t>
        </w:r>
        <w:r w:rsidRPr="008A17C8">
          <w:rPr>
            <w:rStyle w:val="Lienhypertexte"/>
          </w:rPr>
          <w:t>Communication 471/14</w:t>
        </w:r>
        <w:r w:rsidRPr="008A17C8">
          <w:rPr>
            <w:rStyle w:val="Lienhypertexte"/>
          </w:rPr>
          <w:t>.</w:t>
        </w:r>
      </w:hyperlink>
    </w:p>
    <w:p w14:paraId="0F010E34" w14:textId="72B250AA" w:rsidR="007E0BA0" w:rsidRDefault="007E0BA0" w:rsidP="00804D07">
      <w:pPr>
        <w:spacing w:line="240" w:lineRule="auto"/>
      </w:pPr>
      <w:r>
        <w:t xml:space="preserve">Les victimes allèguent </w:t>
      </w:r>
      <w:r w:rsidR="0097249E">
        <w:t>avoir été victimes d’</w:t>
      </w:r>
      <w:r>
        <w:t>arrestations</w:t>
      </w:r>
      <w:r w:rsidR="00F468D2">
        <w:t>,</w:t>
      </w:r>
      <w:r>
        <w:t xml:space="preserve"> de détentions arbitraires</w:t>
      </w:r>
      <w:r w:rsidR="00F468D2">
        <w:t>,</w:t>
      </w:r>
      <w:r>
        <w:t xml:space="preserve"> poursuites injustes</w:t>
      </w:r>
      <w:r w:rsidR="00F468D2">
        <w:t xml:space="preserve"> et de menaces sur leur vie</w:t>
      </w:r>
      <w:r>
        <w:t xml:space="preserve"> sur le fondement </w:t>
      </w:r>
      <w:r w:rsidR="00F468D2">
        <w:t>de leur</w:t>
      </w:r>
      <w:r>
        <w:t xml:space="preserve"> mariage entre un homme chrétien et une femme musulmane.</w:t>
      </w:r>
      <w:r w:rsidR="00F468D2">
        <w:t xml:space="preserve"> </w:t>
      </w:r>
    </w:p>
    <w:p w14:paraId="7E36C2A2" w14:textId="3386EC97" w:rsidR="007E0BA0" w:rsidRDefault="0046603A" w:rsidP="00804D07">
      <w:pPr>
        <w:spacing w:line="240" w:lineRule="auto"/>
      </w:pPr>
      <w:r>
        <w:t>S’agissant de la recevabilité</w:t>
      </w:r>
      <w:r w:rsidR="001348D6">
        <w:t>,</w:t>
      </w:r>
      <w:r>
        <w:t xml:space="preserve"> la Commission n’a pas accueilli les moyens de l’État défendeur selon le</w:t>
      </w:r>
      <w:r w:rsidR="001348D6">
        <w:t>s</w:t>
      </w:r>
      <w:r>
        <w:t>quel</w:t>
      </w:r>
      <w:r w:rsidR="001348D6">
        <w:t>s</w:t>
      </w:r>
      <w:r>
        <w:t xml:space="preserve"> les propos utilisés dans la communication étaient outrageants ou insultants (§81). De plus, la Commission a considéré que les recours internes étaient indisponibles pour les plaignants du fait de la crainte généralisée d’atteinte à leur vie par notamment des groupes d’extrémistes religieux et la famille d’une des victimes, l’ensemble de ces menaces les ayant </w:t>
      </w:r>
      <w:r w:rsidR="00A00B2A">
        <w:t>poussés</w:t>
      </w:r>
      <w:r>
        <w:t xml:space="preserve"> à fuir le pays (§90).</w:t>
      </w:r>
    </w:p>
    <w:p w14:paraId="466FCFD5" w14:textId="053A92FE" w:rsidR="007E0BA0" w:rsidRDefault="00A00B2A" w:rsidP="00804D07">
      <w:pPr>
        <w:spacing w:line="240" w:lineRule="auto"/>
      </w:pPr>
      <w:r>
        <w:t>La Commission a d’abord considéré que l’article 2 de la Charte avait été violé, dans la mesure o</w:t>
      </w:r>
      <w:r w:rsidR="0097249E">
        <w:t>ù</w:t>
      </w:r>
      <w:r>
        <w:t xml:space="preserve"> la charge d’adultère et l’inculpation d’apostasie n’avait reposé que sur la femme et que par ailleurs</w:t>
      </w:r>
      <w:r w:rsidR="001348D6">
        <w:t xml:space="preserve">, </w:t>
      </w:r>
      <w:r w:rsidR="001348D6">
        <w:lastRenderedPageBreak/>
        <w:t>les</w:t>
      </w:r>
      <w:r>
        <w:t xml:space="preserve"> femmes musulmanes étaient découragée</w:t>
      </w:r>
      <w:r w:rsidR="0097249E">
        <w:t>s</w:t>
      </w:r>
      <w:r>
        <w:t xml:space="preserve"> de se marier avec des hommes chrétiens et non l’inverse (§145).</w:t>
      </w:r>
      <w:r w:rsidR="009F5D6F">
        <w:t xml:space="preserve"> Elle a ainsi considéré que l’application du droit pénal soudanais était « discriminatoire et violente » dans ce contexte (§147).</w:t>
      </w:r>
      <w:r>
        <w:t xml:space="preserve"> </w:t>
      </w:r>
      <w:r w:rsidR="009F5D6F">
        <w:t>La Commission a également constaté sur ces éléments une violation de l’article 3 (§152).</w:t>
      </w:r>
    </w:p>
    <w:p w14:paraId="64BDA98E" w14:textId="4E867713" w:rsidR="009F5D6F" w:rsidRDefault="00183C34" w:rsidP="00804D07">
      <w:pPr>
        <w:spacing w:line="240" w:lineRule="auto"/>
      </w:pPr>
      <w:r>
        <w:t xml:space="preserve">En outre, rappelant sa décision dans l’affaire </w:t>
      </w:r>
      <w:r>
        <w:rPr>
          <w:i/>
          <w:iCs/>
        </w:rPr>
        <w:t>The centre for minority rights development (Kenya) and Minority Rights Group c. Kenya</w:t>
      </w:r>
      <w:r>
        <w:t xml:space="preserve">, la </w:t>
      </w:r>
      <w:r w:rsidR="001348D6">
        <w:t>Commission</w:t>
      </w:r>
      <w:r>
        <w:t xml:space="preserve"> a réaffirmé que le droit à la vie garanti par l’article 4 induit une obligation pour l’État de protéger les individus, en particulier les plus vulnérables « </w:t>
      </w:r>
      <w:r w:rsidRPr="00183C34">
        <w:t>d'actes et d'omissions visant à causer ou susceptibles de causer leur mort non naturelle ou prématurée</w:t>
      </w:r>
      <w:r>
        <w:t> » (§156). Or</w:t>
      </w:r>
      <w:r w:rsidR="001348D6">
        <w:t>,</w:t>
      </w:r>
      <w:r>
        <w:t xml:space="preserve"> l’État a failli à cette obligation tant du fait des conditions de détention des plaignants, que par le </w:t>
      </w:r>
      <w:r w:rsidR="00A41B1F">
        <w:t>prononcé</w:t>
      </w:r>
      <w:r>
        <w:t xml:space="preserve"> de la peine de mort pour le crime d’apostasie </w:t>
      </w:r>
      <w:r w:rsidR="00A41B1F">
        <w:t>ainsi que dans son incapacité à protéger les victimes des groupes de fondamentalistes (§158). Elle a en outre, constaté des violations de l’article 5 du fait notamment des conditions de détention des victimes et des différents sévices subis pendant la détention (§168)</w:t>
      </w:r>
      <w:r w:rsidR="004C7797">
        <w:t xml:space="preserve"> ainsi que de l’article 16 (§197).</w:t>
      </w:r>
    </w:p>
    <w:p w14:paraId="0B8623CC" w14:textId="7A55A817" w:rsidR="00A41B1F" w:rsidRDefault="00A41B1F" w:rsidP="00804D07">
      <w:pPr>
        <w:spacing w:line="240" w:lineRule="auto"/>
      </w:pPr>
      <w:r>
        <w:t>La Commission a par ailleurs considéré une violation des deux facettes de l’article 6 dans la mesure o</w:t>
      </w:r>
      <w:r w:rsidR="0097249E">
        <w:t>ù</w:t>
      </w:r>
      <w:r>
        <w:t xml:space="preserve"> l’arrestation et la détention arbitraire sont des atteintes au droit à la liberté, </w:t>
      </w:r>
      <w:r w:rsidR="00F50C14">
        <w:t xml:space="preserve">et que les mauvais traitements subis en détention constituaient une atteinte à leur droit à la sécurité (§175). </w:t>
      </w:r>
    </w:p>
    <w:p w14:paraId="36FB11B2" w14:textId="13E21560" w:rsidR="00F50C14" w:rsidRDefault="00F50C14" w:rsidP="00804D07">
      <w:pPr>
        <w:spacing w:line="240" w:lineRule="auto"/>
      </w:pPr>
      <w:r>
        <w:t xml:space="preserve">Face aux multiples allégations d’atteinte à l’article 7 garantissant le droit à un procès équitable, la Commission a statué que l’État du Soudan n’avait effectivement pas </w:t>
      </w:r>
      <w:r w:rsidR="0097249E">
        <w:t>satisfait</w:t>
      </w:r>
      <w:r>
        <w:t xml:space="preserve"> aux standards de l’article (§181).</w:t>
      </w:r>
    </w:p>
    <w:p w14:paraId="554D66D0" w14:textId="63210EB0" w:rsidR="00F50C14" w:rsidRDefault="00F50C14" w:rsidP="00804D07">
      <w:pPr>
        <w:spacing w:line="240" w:lineRule="auto"/>
      </w:pPr>
      <w:r>
        <w:t xml:space="preserve">La </w:t>
      </w:r>
      <w:r w:rsidR="00F43A81">
        <w:t>Commission</w:t>
      </w:r>
      <w:r>
        <w:t xml:space="preserve"> a également constaté de nombreuses violations des droits garantis par l’article 8 notamment du fait </w:t>
      </w:r>
      <w:r w:rsidR="00F43A81">
        <w:t>de l’application de la Charia à une personne se revendiquant chrétienne, du fait de l’inculpation de la première victime pour le crime d’apostasie, ainsi que du fait des conclusions contradictoires de la Cour relativement à la foi de la première victime (§186).</w:t>
      </w:r>
    </w:p>
    <w:p w14:paraId="6ADCE662" w14:textId="753D43D4" w:rsidR="007E0BA0" w:rsidRPr="007E0BA0" w:rsidRDefault="00F43A81" w:rsidP="00804D07">
      <w:pPr>
        <w:spacing w:line="240" w:lineRule="auto"/>
      </w:pPr>
      <w:r>
        <w:t>Elle a par ailleurs considéré que le droit à la liberté de mouvement garanti par l’article 12 avait été violé du fait de la détention arbitraire, mais également du fait des menaces faites par des groupes de fondamentalistes religieux à l’égard particulièrement de la première victime (§193).</w:t>
      </w:r>
      <w:r w:rsidR="004C7797">
        <w:t xml:space="preserve"> Elle a finalement considéré des violations des articles 18 (§201) et 1 de la Charte (§207).</w:t>
      </w:r>
    </w:p>
    <w:p w14:paraId="4D9C8BE6" w14:textId="2816E4D8" w:rsidR="00CB1937" w:rsidRDefault="008A17C8" w:rsidP="00804D07">
      <w:pPr>
        <w:spacing w:line="240" w:lineRule="auto"/>
        <w:rPr>
          <w:u w:val="single"/>
        </w:rPr>
      </w:pPr>
      <w:hyperlink r:id="rId15" w:history="1">
        <w:r w:rsidRPr="008A17C8">
          <w:rPr>
            <w:rStyle w:val="Lienhypertexte"/>
          </w:rPr>
          <w:t xml:space="preserve">Décision, </w:t>
        </w:r>
        <w:r w:rsidR="00CB1937" w:rsidRPr="008A17C8">
          <w:rPr>
            <w:rStyle w:val="Lienhypertexte"/>
            <w:i/>
            <w:iCs/>
          </w:rPr>
          <w:t>Christian Patrichi TANASA (</w:t>
        </w:r>
        <w:r w:rsidR="0053791F" w:rsidRPr="008A17C8">
          <w:rPr>
            <w:rStyle w:val="Lienhypertexte"/>
            <w:i/>
            <w:iCs/>
          </w:rPr>
          <w:t xml:space="preserve">représenté </w:t>
        </w:r>
        <w:r w:rsidR="00CB1937" w:rsidRPr="008A17C8">
          <w:rPr>
            <w:rStyle w:val="Lienhypertexte"/>
            <w:i/>
            <w:iCs/>
          </w:rPr>
          <w:t xml:space="preserve">par Calvin JOB, avocat) c </w:t>
        </w:r>
        <w:r w:rsidRPr="008A17C8">
          <w:rPr>
            <w:rStyle w:val="Lienhypertexte"/>
            <w:i/>
            <w:iCs/>
          </w:rPr>
          <w:t>République</w:t>
        </w:r>
        <w:r w:rsidR="00CB1937" w:rsidRPr="008A17C8">
          <w:rPr>
            <w:rStyle w:val="Lienhypertexte"/>
            <w:i/>
            <w:iCs/>
          </w:rPr>
          <w:t xml:space="preserve"> du Gabon</w:t>
        </w:r>
        <w:r w:rsidR="00CB1937" w:rsidRPr="008A17C8">
          <w:rPr>
            <w:rStyle w:val="Lienhypertexte"/>
          </w:rPr>
          <w:t>, 7 nov</w:t>
        </w:r>
        <w:r w:rsidRPr="008A17C8">
          <w:rPr>
            <w:rStyle w:val="Lienhypertexte"/>
          </w:rPr>
          <w:t xml:space="preserve">embre </w:t>
        </w:r>
        <w:r w:rsidR="00CB1937" w:rsidRPr="008A17C8">
          <w:rPr>
            <w:rStyle w:val="Lienhypertexte"/>
          </w:rPr>
          <w:t xml:space="preserve">2025, </w:t>
        </w:r>
        <w:r>
          <w:rPr>
            <w:rStyle w:val="Lienhypertexte"/>
          </w:rPr>
          <w:t>irrecevabilité</w:t>
        </w:r>
        <w:r w:rsidRPr="008A17C8">
          <w:rPr>
            <w:rStyle w:val="Lienhypertexte"/>
          </w:rPr>
          <w:t xml:space="preserve">, </w:t>
        </w:r>
        <w:r w:rsidRPr="008A17C8">
          <w:rPr>
            <w:rStyle w:val="Lienhypertexte"/>
          </w:rPr>
          <w:t>Communication 741/20</w:t>
        </w:r>
        <w:r w:rsidRPr="008A17C8">
          <w:rPr>
            <w:rStyle w:val="Lienhypertexte"/>
          </w:rPr>
          <w:t>.</w:t>
        </w:r>
      </w:hyperlink>
    </w:p>
    <w:p w14:paraId="7A8D9EFA" w14:textId="4F6702BD" w:rsidR="00F468D2" w:rsidRDefault="00F468D2" w:rsidP="00804D07">
      <w:pPr>
        <w:spacing w:line="240" w:lineRule="auto"/>
      </w:pPr>
      <w:r>
        <w:t xml:space="preserve">Le plaignant allègue </w:t>
      </w:r>
      <w:r w:rsidR="0097249E">
        <w:t xml:space="preserve">avoir été victime </w:t>
      </w:r>
      <w:r>
        <w:t>d’</w:t>
      </w:r>
      <w:r w:rsidR="0097249E">
        <w:t xml:space="preserve">une </w:t>
      </w:r>
      <w:r>
        <w:t>arrestation et d</w:t>
      </w:r>
      <w:r w:rsidR="0097249E">
        <w:t>’une</w:t>
      </w:r>
      <w:r>
        <w:t xml:space="preserve"> détention arbitraire sur des fondements politiques. Il allègue de différentes violations de </w:t>
      </w:r>
      <w:r w:rsidR="0097249E">
        <w:t>s</w:t>
      </w:r>
      <w:r>
        <w:t xml:space="preserve">es droits dans le cadre de la procédure judiciaire le visant. </w:t>
      </w:r>
    </w:p>
    <w:p w14:paraId="16DA5C20" w14:textId="618790B6" w:rsidR="00F468D2" w:rsidRPr="00F468D2" w:rsidRDefault="00F468D2" w:rsidP="00804D07">
      <w:pPr>
        <w:spacing w:line="240" w:lineRule="auto"/>
      </w:pPr>
      <w:r w:rsidRPr="00F468D2">
        <w:t xml:space="preserve">La Commission </w:t>
      </w:r>
      <w:r>
        <w:t xml:space="preserve">a </w:t>
      </w:r>
      <w:r w:rsidRPr="00F468D2">
        <w:t>soulign</w:t>
      </w:r>
      <w:r>
        <w:t>é</w:t>
      </w:r>
      <w:r w:rsidRPr="00F468D2">
        <w:t xml:space="preserve"> que sa jurisprudence inclut </w:t>
      </w:r>
      <w:r>
        <w:t>« l</w:t>
      </w:r>
      <w:r w:rsidRPr="00F468D2">
        <w:t xml:space="preserve">e principe de </w:t>
      </w:r>
      <w:r>
        <w:t>l</w:t>
      </w:r>
      <w:r w:rsidRPr="00F468D2">
        <w:t>a pr</w:t>
      </w:r>
      <w:r>
        <w:t>é</w:t>
      </w:r>
      <w:r w:rsidRPr="00F468D2">
        <w:t>so</w:t>
      </w:r>
      <w:r>
        <w:t>m</w:t>
      </w:r>
      <w:r w:rsidRPr="00F468D2">
        <w:t>ption d'</w:t>
      </w:r>
      <w:r w:rsidRPr="00F468D2">
        <w:t>efficacité</w:t>
      </w:r>
      <w:r w:rsidRPr="00F468D2">
        <w:t xml:space="preserve"> et de suffisance des recours disponibles, qui doivent </w:t>
      </w:r>
      <w:r w:rsidRPr="00F468D2">
        <w:t>être</w:t>
      </w:r>
      <w:r w:rsidRPr="00F468D2">
        <w:t xml:space="preserve"> test</w:t>
      </w:r>
      <w:r>
        <w:t>és</w:t>
      </w:r>
      <w:r w:rsidRPr="00F468D2">
        <w:t xml:space="preserve"> par les victimes </w:t>
      </w:r>
      <w:r w:rsidRPr="00F468D2">
        <w:t>présumées</w:t>
      </w:r>
      <w:r w:rsidRPr="00F468D2">
        <w:t xml:space="preserve">, et qu'il ne suffit pas de mettre en doute leur </w:t>
      </w:r>
      <w:r w:rsidRPr="00F468D2">
        <w:t>efficacité</w:t>
      </w:r>
      <w:r w:rsidRPr="00F468D2">
        <w:t xml:space="preserve"> ou leur </w:t>
      </w:r>
      <w:r w:rsidRPr="00F468D2">
        <w:t>suffisance</w:t>
      </w:r>
      <w:r>
        <w:t xml:space="preserve"> » (§73). Le plaignant n’a ainsi pas été en mesure de démontr</w:t>
      </w:r>
      <w:r w:rsidR="0097249E">
        <w:t>er</w:t>
      </w:r>
      <w:r>
        <w:t xml:space="preserve"> l’insuffisance ou l’inefficacité de ces recours</w:t>
      </w:r>
      <w:r w:rsidR="0053791F">
        <w:t>.</w:t>
      </w:r>
    </w:p>
    <w:p w14:paraId="375F156F" w14:textId="7ADE2D3F" w:rsidR="00CB1937" w:rsidRDefault="00CB1937" w:rsidP="00804D07">
      <w:pPr>
        <w:spacing w:line="240" w:lineRule="auto"/>
        <w:rPr>
          <w:b/>
          <w:bCs/>
          <w:u w:val="single"/>
        </w:rPr>
      </w:pPr>
      <w:r>
        <w:rPr>
          <w:b/>
          <w:bCs/>
          <w:u w:val="single"/>
        </w:rPr>
        <w:t>80</w:t>
      </w:r>
      <w:r w:rsidR="00435452" w:rsidRPr="00435452">
        <w:rPr>
          <w:b/>
          <w:bCs/>
          <w:u w:val="single"/>
          <w:vertAlign w:val="superscript"/>
        </w:rPr>
        <w:t>ème</w:t>
      </w:r>
      <w:r>
        <w:rPr>
          <w:b/>
          <w:bCs/>
          <w:u w:val="single"/>
        </w:rPr>
        <w:t xml:space="preserve"> </w:t>
      </w:r>
      <w:r w:rsidR="00435452">
        <w:rPr>
          <w:b/>
          <w:bCs/>
          <w:u w:val="single"/>
        </w:rPr>
        <w:t>session ordinaire</w:t>
      </w:r>
      <w:r w:rsidR="00435452">
        <w:rPr>
          <w:b/>
          <w:bCs/>
          <w:u w:val="single"/>
        </w:rPr>
        <w:t> :</w:t>
      </w:r>
    </w:p>
    <w:p w14:paraId="55C6239B" w14:textId="67F3B610" w:rsidR="00CB1937" w:rsidRDefault="008A17C8" w:rsidP="00804D07">
      <w:pPr>
        <w:spacing w:line="240" w:lineRule="auto"/>
        <w:rPr>
          <w:u w:val="single"/>
        </w:rPr>
      </w:pPr>
      <w:hyperlink r:id="rId16" w:history="1">
        <w:r w:rsidRPr="008A17C8">
          <w:rPr>
            <w:rStyle w:val="Lienhypertexte"/>
          </w:rPr>
          <w:t>Décision,</w:t>
        </w:r>
        <w:r w:rsidR="00CB1937" w:rsidRPr="008A17C8">
          <w:rPr>
            <w:rStyle w:val="Lienhypertexte"/>
          </w:rPr>
          <w:t xml:space="preserve"> </w:t>
        </w:r>
        <w:r w:rsidR="00CB1937" w:rsidRPr="008A17C8">
          <w:rPr>
            <w:rStyle w:val="Lienhypertexte"/>
            <w:i/>
            <w:iCs/>
          </w:rPr>
          <w:t>Senateur .Jean-Pierre Bemba Gombo c. République démocratique du Congo</w:t>
        </w:r>
        <w:r w:rsidR="00CB1937" w:rsidRPr="008A17C8">
          <w:rPr>
            <w:rStyle w:val="Lienhypertexte"/>
          </w:rPr>
          <w:t>, 7 nov</w:t>
        </w:r>
        <w:r w:rsidRPr="008A17C8">
          <w:rPr>
            <w:rStyle w:val="Lienhypertexte"/>
          </w:rPr>
          <w:t>embre</w:t>
        </w:r>
        <w:r w:rsidR="00CB1937" w:rsidRPr="008A17C8">
          <w:rPr>
            <w:rStyle w:val="Lienhypertexte"/>
          </w:rPr>
          <w:t xml:space="preserve"> 2025, </w:t>
        </w:r>
        <w:r w:rsidRPr="008A17C8">
          <w:rPr>
            <w:rStyle w:val="Lienhypertexte"/>
          </w:rPr>
          <w:t xml:space="preserve">fond, </w:t>
        </w:r>
        <w:r w:rsidRPr="008A17C8">
          <w:rPr>
            <w:rStyle w:val="Lienhypertexte"/>
          </w:rPr>
          <w:t>Communication 709/19</w:t>
        </w:r>
        <w:r w:rsidRPr="008A17C8">
          <w:rPr>
            <w:rStyle w:val="Lienhypertexte"/>
          </w:rPr>
          <w:t>.</w:t>
        </w:r>
      </w:hyperlink>
    </w:p>
    <w:p w14:paraId="29B93DD3" w14:textId="0B8664BF" w:rsidR="0090527A" w:rsidRDefault="001B4313" w:rsidP="00804D07">
      <w:pPr>
        <w:spacing w:line="240" w:lineRule="auto"/>
      </w:pPr>
      <w:r w:rsidRPr="001B4313">
        <w:t xml:space="preserve">Le plaignant </w:t>
      </w:r>
      <w:r w:rsidRPr="001B4313">
        <w:t>allègue</w:t>
      </w:r>
      <w:r w:rsidRPr="001B4313">
        <w:t xml:space="preserve"> que la C</w:t>
      </w:r>
      <w:r>
        <w:t>o</w:t>
      </w:r>
      <w:r w:rsidRPr="001B4313">
        <w:t>mmissio</w:t>
      </w:r>
      <w:r>
        <w:t>n é</w:t>
      </w:r>
      <w:r w:rsidRPr="001B4313">
        <w:t>l</w:t>
      </w:r>
      <w:r>
        <w:t>e</w:t>
      </w:r>
      <w:r w:rsidRPr="001B4313">
        <w:t>ctorale</w:t>
      </w:r>
      <w:r w:rsidRPr="001B4313">
        <w:t xml:space="preserve"> nationale i</w:t>
      </w:r>
      <w:r>
        <w:t>n</w:t>
      </w:r>
      <w:r w:rsidRPr="001B4313">
        <w:t>d</w:t>
      </w:r>
      <w:r>
        <w:t>é</w:t>
      </w:r>
      <w:r w:rsidRPr="001B4313">
        <w:t xml:space="preserve">pendante (CENI), a </w:t>
      </w:r>
      <w:r>
        <w:t xml:space="preserve">injustement </w:t>
      </w:r>
      <w:r w:rsidRPr="001B4313">
        <w:t>rejet</w:t>
      </w:r>
      <w:r>
        <w:t>é</w:t>
      </w:r>
      <w:r w:rsidRPr="001B4313">
        <w:t xml:space="preserve"> sa candidature </w:t>
      </w:r>
      <w:r>
        <w:t xml:space="preserve">à </w:t>
      </w:r>
      <w:r w:rsidRPr="001B4313">
        <w:t>l'</w:t>
      </w:r>
      <w:r w:rsidRPr="001B4313">
        <w:t>élection</w:t>
      </w:r>
      <w:r w:rsidRPr="001B4313">
        <w:t xml:space="preserve"> </w:t>
      </w:r>
      <w:r w:rsidRPr="001B4313">
        <w:t>présidentielle</w:t>
      </w:r>
      <w:r>
        <w:t>.</w:t>
      </w:r>
    </w:p>
    <w:p w14:paraId="7A9B8AA1" w14:textId="10E6FF63" w:rsidR="001B4313" w:rsidRDefault="001B4313" w:rsidP="00804D07">
      <w:pPr>
        <w:spacing w:line="240" w:lineRule="auto"/>
      </w:pPr>
      <w:r>
        <w:t xml:space="preserve">La </w:t>
      </w:r>
      <w:r w:rsidR="00162B21">
        <w:t xml:space="preserve">communication a </w:t>
      </w:r>
      <w:r>
        <w:t>été déclarée recevable (§44).</w:t>
      </w:r>
    </w:p>
    <w:p w14:paraId="1B63593C" w14:textId="69987A7E" w:rsidR="00162B21" w:rsidRDefault="00162B21" w:rsidP="00804D07">
      <w:pPr>
        <w:spacing w:line="240" w:lineRule="auto"/>
      </w:pPr>
      <w:r>
        <w:lastRenderedPageBreak/>
        <w:t>S’agissant de la violation alléguée de l’article</w:t>
      </w:r>
      <w:r w:rsidR="0097249E">
        <w:t xml:space="preserve"> 13</w:t>
      </w:r>
      <w:r>
        <w:t xml:space="preserve"> la Commission a rappelé que « l</w:t>
      </w:r>
      <w:r>
        <w:t>'expression "participation à la direction des affaires publiques</w:t>
      </w:r>
      <w:r w:rsidR="0008797E">
        <w:rPr>
          <w:rFonts w:cs="Times New Roman"/>
        </w:rPr>
        <w:t>"</w:t>
      </w:r>
      <w:r>
        <w:t xml:space="preserve"> est très large et ne se limite pas à la participation dans le contexte des élections. Elle inclut, par exemple, le droit de pétition, l’action populaire et la participation aux referendums. Dans le cadre de la démocratie participative, les citoyens peuvent prendre part à la direction ou à la gestion des services publics, occuper des sièges dans les organes de gestion en tant que représentants de communautés locales, de structures professionnelles </w:t>
      </w:r>
      <w:r w:rsidR="0097249E">
        <w:t>ou</w:t>
      </w:r>
      <w:r>
        <w:t xml:space="preserve"> d'intérêts divers, ou encore être consultés en groupe ou individuellement sur les différents projets de </w:t>
      </w:r>
      <w:r>
        <w:t>décisions</w:t>
      </w:r>
      <w:r>
        <w:t xml:space="preserve"> ou de </w:t>
      </w:r>
      <w:r>
        <w:t>réformes</w:t>
      </w:r>
      <w:r>
        <w:t xml:space="preserve"> en cours dans </w:t>
      </w:r>
      <w:r>
        <w:t>le pays » (§69).</w:t>
      </w:r>
      <w:r w:rsidR="0066058C">
        <w:t xml:space="preserve"> Elle a également énoncé l’ensemble des critères d’appréciation d’élections libres et transparentes (§72).</w:t>
      </w:r>
      <w:r w:rsidR="00364276">
        <w:t xml:space="preserve"> </w:t>
      </w:r>
    </w:p>
    <w:p w14:paraId="3FA5C91C" w14:textId="01FF7741" w:rsidR="0066058C" w:rsidRPr="0090527A" w:rsidRDefault="0066058C" w:rsidP="00804D07">
      <w:pPr>
        <w:spacing w:line="240" w:lineRule="auto"/>
      </w:pPr>
      <w:r>
        <w:t xml:space="preserve">S’agissant particulièrement </w:t>
      </w:r>
      <w:r w:rsidR="0008797E">
        <w:t>des</w:t>
      </w:r>
      <w:r>
        <w:t xml:space="preserve"> conditions d’inéligibilité respectueuse de l’article 13(1) la Commission a constaté l’</w:t>
      </w:r>
      <w:r w:rsidR="00364276">
        <w:t>indétermination</w:t>
      </w:r>
      <w:r>
        <w:t xml:space="preserve"> de la définition du terme </w:t>
      </w:r>
      <w:r w:rsidR="0097249E">
        <w:t>« </w:t>
      </w:r>
      <w:r>
        <w:t>irrévocable</w:t>
      </w:r>
      <w:r w:rsidR="0097249E">
        <w:t> »</w:t>
      </w:r>
      <w:r>
        <w:t xml:space="preserve"> </w:t>
      </w:r>
      <w:r w:rsidR="00364276">
        <w:t xml:space="preserve">utilisé dans l’article 10(3) de la loi électorale </w:t>
      </w:r>
      <w:r w:rsidR="0008797E">
        <w:t xml:space="preserve">congolaise </w:t>
      </w:r>
      <w:r w:rsidR="00364276">
        <w:t xml:space="preserve">(§79). </w:t>
      </w:r>
      <w:r w:rsidR="00364276">
        <w:t>Néanmoins</w:t>
      </w:r>
      <w:r w:rsidR="0008797E">
        <w:t>,</w:t>
      </w:r>
      <w:r w:rsidR="00364276">
        <w:t xml:space="preserve"> compte tenu de l’existence d’une reconnaissance partielle de la culpabilité du plaignant par la Cour Pénale Internationale, et du fait que « </w:t>
      </w:r>
      <w:r w:rsidR="00364276" w:rsidRPr="00364276">
        <w:t>la Commission considère qu'elle ne pourrait s'immiscer dans l'</w:t>
      </w:r>
      <w:r w:rsidR="00364276" w:rsidRPr="00364276">
        <w:t>interprétation</w:t>
      </w:r>
      <w:r w:rsidR="00364276" w:rsidRPr="00364276">
        <w:t xml:space="preserve"> faite par les </w:t>
      </w:r>
      <w:r w:rsidR="00364276" w:rsidRPr="00364276">
        <w:t>autorités</w:t>
      </w:r>
      <w:r w:rsidR="00364276" w:rsidRPr="00364276">
        <w:t xml:space="preserve"> de </w:t>
      </w:r>
      <w:r w:rsidR="00364276">
        <w:t>l’É</w:t>
      </w:r>
      <w:r w:rsidR="00364276" w:rsidRPr="00364276">
        <w:t>tat défendeur que s'il existait une situation d'arbitraire flagrant dans l'</w:t>
      </w:r>
      <w:r w:rsidR="00364276" w:rsidRPr="00364276">
        <w:t>interprétation</w:t>
      </w:r>
      <w:r w:rsidR="00364276" w:rsidRPr="00364276">
        <w:t xml:space="preserve"> du droit interne</w:t>
      </w:r>
      <w:r w:rsidR="00364276">
        <w:t> », elle a conclu à l’</w:t>
      </w:r>
      <w:r w:rsidR="00364276">
        <w:t>absence</w:t>
      </w:r>
      <w:r w:rsidR="00364276">
        <w:t xml:space="preserve"> d</w:t>
      </w:r>
      <w:r w:rsidR="00364276">
        <w:t>e violation par l’État défendeur de l’article 13(1) de la Charte (§92).</w:t>
      </w:r>
    </w:p>
    <w:p w14:paraId="2D50DACF" w14:textId="1CB16F70" w:rsidR="00CB1937" w:rsidRDefault="008A17C8" w:rsidP="00804D07">
      <w:pPr>
        <w:spacing w:line="240" w:lineRule="auto"/>
        <w:rPr>
          <w:u w:val="single"/>
        </w:rPr>
      </w:pPr>
      <w:hyperlink r:id="rId17" w:history="1">
        <w:r w:rsidRPr="008A17C8">
          <w:rPr>
            <w:rStyle w:val="Lienhypertexte"/>
          </w:rPr>
          <w:t xml:space="preserve">Décision, </w:t>
        </w:r>
        <w:r w:rsidR="00CB1937" w:rsidRPr="008A17C8">
          <w:rPr>
            <w:rStyle w:val="Lienhypertexte"/>
            <w:i/>
            <w:iCs/>
          </w:rPr>
          <w:t>Afekuru Animu Rasasi Amiati (Represented by Institute for Human Rights and Development in Africa) v. South Sudan</w:t>
        </w:r>
        <w:r w:rsidR="00CB1937" w:rsidRPr="008A17C8">
          <w:rPr>
            <w:rStyle w:val="Lienhypertexte"/>
          </w:rPr>
          <w:t>, 18 nov</w:t>
        </w:r>
        <w:r w:rsidRPr="008A17C8">
          <w:rPr>
            <w:rStyle w:val="Lienhypertexte"/>
          </w:rPr>
          <w:t xml:space="preserve">embre </w:t>
        </w:r>
        <w:r w:rsidR="00CB1937" w:rsidRPr="008A17C8">
          <w:rPr>
            <w:rStyle w:val="Lienhypertexte"/>
          </w:rPr>
          <w:t xml:space="preserve">2025, </w:t>
        </w:r>
        <w:r w:rsidRPr="008A17C8">
          <w:rPr>
            <w:rStyle w:val="Lienhypertexte"/>
          </w:rPr>
          <w:t xml:space="preserve">fond, </w:t>
        </w:r>
        <w:r w:rsidRPr="008A17C8">
          <w:rPr>
            <w:rStyle w:val="Lienhypertexte"/>
          </w:rPr>
          <w:t>Communication 801/22</w:t>
        </w:r>
        <w:r w:rsidRPr="008A17C8">
          <w:rPr>
            <w:rStyle w:val="Lienhypertexte"/>
          </w:rPr>
          <w:t>.</w:t>
        </w:r>
      </w:hyperlink>
    </w:p>
    <w:p w14:paraId="11E70773" w14:textId="7F0837BE" w:rsidR="00CB1937" w:rsidRDefault="008D044A" w:rsidP="00804D07">
      <w:pPr>
        <w:spacing w:line="240" w:lineRule="auto"/>
      </w:pPr>
      <w:r>
        <w:t>Le plaignant allègue s’être fait injustement retirer sa nationalité sud soudanaise sur des motifs politiques, ce qui a entrainé une très forte précarisation. </w:t>
      </w:r>
    </w:p>
    <w:p w14:paraId="5C486F8C" w14:textId="6811C3D0" w:rsidR="008D044A" w:rsidRDefault="00F84590" w:rsidP="00804D07">
      <w:pPr>
        <w:tabs>
          <w:tab w:val="left" w:pos="5205"/>
        </w:tabs>
        <w:spacing w:line="240" w:lineRule="auto"/>
      </w:pPr>
      <w:r>
        <w:t>La communication a été déclarée recevable (§67)</w:t>
      </w:r>
      <w:r w:rsidR="00162B21">
        <w:t xml:space="preserve">. </w:t>
      </w:r>
    </w:p>
    <w:p w14:paraId="34B16818" w14:textId="30C840F4" w:rsidR="00F41F38" w:rsidRPr="003835B5" w:rsidRDefault="00F41F38" w:rsidP="00804D07">
      <w:pPr>
        <w:spacing w:line="240" w:lineRule="auto"/>
      </w:pPr>
      <w:r>
        <w:t>S’agissant de la déchéance de nationalité dont a été sujet la victime, la Commission a rappelé que s’il n’était pas explicitement contenu dans la Charte, le droit à la nationalité pouvait être déduit de l’article 5 et interdisait tout</w:t>
      </w:r>
      <w:r w:rsidR="00E137AE">
        <w:t>e</w:t>
      </w:r>
      <w:r>
        <w:t xml:space="preserve"> privation arbitraire de nationalité</w:t>
      </w:r>
      <w:r w:rsidR="003835B5">
        <w:t xml:space="preserve"> (§83)</w:t>
      </w:r>
      <w:r>
        <w:t xml:space="preserve">. La Commission s’est ainsi </w:t>
      </w:r>
      <w:r w:rsidR="003835B5">
        <w:t>appuyée</w:t>
      </w:r>
      <w:r>
        <w:t xml:space="preserve"> sur </w:t>
      </w:r>
      <w:r w:rsidR="003835B5">
        <w:t>s</w:t>
      </w:r>
      <w:r>
        <w:t xml:space="preserve">es jurisprudences antérieures notamment </w:t>
      </w:r>
      <w:r>
        <w:rPr>
          <w:i/>
          <w:iCs/>
        </w:rPr>
        <w:t xml:space="preserve">Nubian Community </w:t>
      </w:r>
      <w:r w:rsidR="003835B5">
        <w:rPr>
          <w:i/>
          <w:iCs/>
        </w:rPr>
        <w:t>in Kenya c. République du Kenya</w:t>
      </w:r>
      <w:r w:rsidR="003835B5">
        <w:t xml:space="preserve">, ainsi que sur la jurisprudence de la Cour dans l’affaire </w:t>
      </w:r>
      <w:r w:rsidR="003835B5">
        <w:rPr>
          <w:i/>
          <w:iCs/>
        </w:rPr>
        <w:t>Penessis c. Tanzanie</w:t>
      </w:r>
      <w:r w:rsidR="003835B5">
        <w:t xml:space="preserve"> (§87). Elle s’est également appuyée sur les critères définis dans la décision de la Cour </w:t>
      </w:r>
      <w:r w:rsidR="003835B5">
        <w:rPr>
          <w:i/>
          <w:iCs/>
        </w:rPr>
        <w:t xml:space="preserve">Anudo c. Tanzanie </w:t>
      </w:r>
      <w:r w:rsidR="003835B5">
        <w:t xml:space="preserve">pour déterminer si la privation de nationalité a été effectuée de manière arbitraire (§98). Elle a ainsi déduit de l’espèce que la privation de nationalité à l’encontre du requérant avait été effectuée de manière arbitraire, sans </w:t>
      </w:r>
      <w:r w:rsidR="00FF3D0A">
        <w:t>base légale claire, sans suivre un but légitime d’intérêt général conforme au droit international, et sans protéger aucun intérêt (§100). De ce fait</w:t>
      </w:r>
      <w:r w:rsidR="00D07DBD">
        <w:t>,</w:t>
      </w:r>
      <w:r w:rsidR="00FF3D0A">
        <w:t xml:space="preserve"> l’État défendeur a violé l’article 5 de la Charte. </w:t>
      </w:r>
    </w:p>
    <w:p w14:paraId="4A8684FC" w14:textId="0D70AFE1" w:rsidR="000B542D" w:rsidRDefault="00FF3D0A" w:rsidP="00804D07">
      <w:pPr>
        <w:spacing w:line="240" w:lineRule="auto"/>
      </w:pPr>
      <w:r>
        <w:t xml:space="preserve">S’agissant de l’article 7, la Commission a relevé que malgré les </w:t>
      </w:r>
      <w:r w:rsidR="00D07DBD">
        <w:t>efforts</w:t>
      </w:r>
      <w:r>
        <w:t xml:space="preserve"> du plaignant pour accéder aux juridictions internes, et malgré l’obligation découlant du droit à la nationalité </w:t>
      </w:r>
      <w:r w:rsidR="00D3623D">
        <w:t>d’</w:t>
      </w:r>
      <w:r w:rsidR="00D3623D" w:rsidRPr="00D3623D">
        <w:t>offrir à la personne concernée la possibilité de contester la décision</w:t>
      </w:r>
      <w:r w:rsidR="00D3623D">
        <w:t xml:space="preserve"> </w:t>
      </w:r>
      <w:r w:rsidR="00D07DBD">
        <w:t xml:space="preserve">de retrait </w:t>
      </w:r>
      <w:r w:rsidR="00D3623D">
        <w:t xml:space="preserve">(§109), l’État défendeur n’avait pas rempli ses obligations et avait donc violé le droit du requérant à être entendu par une juridiction impartiale (§113). </w:t>
      </w:r>
    </w:p>
    <w:p w14:paraId="4D20C8AF" w14:textId="56E981D1" w:rsidR="000B542D" w:rsidRPr="000B542D" w:rsidRDefault="00425756" w:rsidP="00804D07">
      <w:pPr>
        <w:spacing w:line="240" w:lineRule="auto"/>
      </w:pPr>
      <w:r>
        <w:t>La Commission a également considéré que ce retrait arbitraire de passeport avait violé le droit du requérant à se déplacer librement et à quitter et retourner dans son pays (§119). De même</w:t>
      </w:r>
      <w:r w:rsidR="006D64EB">
        <w:t>,</w:t>
      </w:r>
      <w:r>
        <w:t xml:space="preserve"> cela a entrainé une violation d</w:t>
      </w:r>
      <w:r w:rsidR="00E137AE">
        <w:t>u droit de</w:t>
      </w:r>
      <w:r>
        <w:t xml:space="preserve"> librement participer aux affaires publiques (§123), de son droit au travail (§129), ainsi que de l’article 1 de la Charte (§133).</w:t>
      </w:r>
    </w:p>
    <w:p w14:paraId="67158EDB" w14:textId="6333699E" w:rsidR="00CB1937" w:rsidRDefault="00CB1937" w:rsidP="00804D07">
      <w:pPr>
        <w:spacing w:line="240" w:lineRule="auto"/>
        <w:rPr>
          <w:b/>
          <w:bCs/>
          <w:u w:val="single"/>
        </w:rPr>
      </w:pPr>
      <w:r>
        <w:rPr>
          <w:b/>
          <w:bCs/>
          <w:u w:val="single"/>
        </w:rPr>
        <w:t>81</w:t>
      </w:r>
      <w:r w:rsidR="00435452" w:rsidRPr="00435452">
        <w:rPr>
          <w:b/>
          <w:bCs/>
          <w:u w:val="single"/>
          <w:vertAlign w:val="superscript"/>
        </w:rPr>
        <w:t>ème</w:t>
      </w:r>
      <w:r w:rsidR="00435452">
        <w:rPr>
          <w:b/>
          <w:bCs/>
          <w:u w:val="single"/>
        </w:rPr>
        <w:t xml:space="preserve"> </w:t>
      </w:r>
      <w:r w:rsidR="00435452">
        <w:rPr>
          <w:b/>
          <w:bCs/>
          <w:u w:val="single"/>
        </w:rPr>
        <w:t>session ordinaire</w:t>
      </w:r>
      <w:r w:rsidR="00435452">
        <w:rPr>
          <w:b/>
          <w:bCs/>
          <w:u w:val="single"/>
        </w:rPr>
        <w:t> :</w:t>
      </w:r>
    </w:p>
    <w:p w14:paraId="41165DB9" w14:textId="18CD9F3B" w:rsidR="00CB1937" w:rsidRDefault="008A17C8" w:rsidP="00804D07">
      <w:pPr>
        <w:spacing w:line="240" w:lineRule="auto"/>
        <w:rPr>
          <w:u w:val="single"/>
        </w:rPr>
      </w:pPr>
      <w:hyperlink r:id="rId18" w:history="1">
        <w:r w:rsidRPr="008A17C8">
          <w:rPr>
            <w:rStyle w:val="Lienhypertexte"/>
          </w:rPr>
          <w:t xml:space="preserve">Décision, </w:t>
        </w:r>
        <w:r w:rsidR="00CB1937" w:rsidRPr="008A17C8">
          <w:rPr>
            <w:rStyle w:val="Lienhypertexte"/>
            <w:i/>
            <w:iCs/>
          </w:rPr>
          <w:t>Phillip Nkosikhona Simelane (represented by Mr. Shadrack Tebeile) v. South Africa</w:t>
        </w:r>
        <w:r w:rsidR="00CB1937" w:rsidRPr="008A17C8">
          <w:rPr>
            <w:rStyle w:val="Lienhypertexte"/>
          </w:rPr>
          <w:t>, 18 nov</w:t>
        </w:r>
        <w:r w:rsidRPr="008A17C8">
          <w:rPr>
            <w:rStyle w:val="Lienhypertexte"/>
          </w:rPr>
          <w:t>embre</w:t>
        </w:r>
        <w:r w:rsidR="00CB1937" w:rsidRPr="008A17C8">
          <w:rPr>
            <w:rStyle w:val="Lienhypertexte"/>
          </w:rPr>
          <w:t xml:space="preserve"> 2025, </w:t>
        </w:r>
        <w:r w:rsidRPr="008A17C8">
          <w:rPr>
            <w:rStyle w:val="Lienhypertexte"/>
          </w:rPr>
          <w:t xml:space="preserve">irrecevabilité, </w:t>
        </w:r>
        <w:r w:rsidRPr="008A17C8">
          <w:rPr>
            <w:rStyle w:val="Lienhypertexte"/>
          </w:rPr>
          <w:t>Communication 774/21</w:t>
        </w:r>
        <w:r w:rsidRPr="008A17C8">
          <w:rPr>
            <w:rStyle w:val="Lienhypertexte"/>
          </w:rPr>
          <w:t>.</w:t>
        </w:r>
      </w:hyperlink>
    </w:p>
    <w:p w14:paraId="21C82639" w14:textId="77777777" w:rsidR="0090527A" w:rsidRDefault="0090527A" w:rsidP="00804D07">
      <w:pPr>
        <w:spacing w:line="240" w:lineRule="auto"/>
      </w:pPr>
      <w:r w:rsidRPr="0090527A">
        <w:t>Le plaignant affirme que, bien qu'il soit né en Afrique du Sud, l'État défendeur a refusé de lui délivrer un certificat de naissance et des documents d'identité, en violation de la Charte africaine.</w:t>
      </w:r>
    </w:p>
    <w:p w14:paraId="138BC543" w14:textId="047D1BE3" w:rsidR="00B9380C" w:rsidRPr="00B9380C" w:rsidRDefault="00B9380C" w:rsidP="00804D07">
      <w:pPr>
        <w:spacing w:line="240" w:lineRule="auto"/>
      </w:pPr>
      <w:r>
        <w:t xml:space="preserve">La Commission étudiant sa recevabilité a néanmoins tenu à </w:t>
      </w:r>
      <w:r w:rsidR="006D64EB">
        <w:t>rappeler</w:t>
      </w:r>
      <w:r>
        <w:t xml:space="preserve"> qu</w:t>
      </w:r>
      <w:r w:rsidR="0090527A">
        <w:t>e « </w:t>
      </w:r>
      <w:r w:rsidR="0090527A" w:rsidRPr="0090527A">
        <w:t>Le principe de complémentarité exige que la Commission n'agisse pas en tant que juridiction de première instance ou en tant que substitut des systèmes judiciaires nationaux, mais qu'elle donne aux tribunaux nationaux la possibilité d'entendre et de se prononcer sur les violations alléguées avant qu'une communication ne soit reçue, sauf s'il existe des motifs établis de dérogation à l'exigence d'épuisement des recours internes</w:t>
      </w:r>
      <w:r w:rsidR="0090527A">
        <w:t> » (§57). Elle a ainsi considéré que les voies de recours internes n'avaient pas été épuisées par le plaignant (§58). Elle a en outre considéré que la demande n’avait pas été transmise dans un délai raisonnable (§64).</w:t>
      </w:r>
    </w:p>
    <w:p w14:paraId="121646D8" w14:textId="04C056FF" w:rsidR="00CB1937" w:rsidRDefault="008A17C8" w:rsidP="00804D07">
      <w:pPr>
        <w:spacing w:line="240" w:lineRule="auto"/>
        <w:rPr>
          <w:u w:val="single"/>
        </w:rPr>
      </w:pPr>
      <w:hyperlink r:id="rId19" w:history="1">
        <w:r w:rsidRPr="008A17C8">
          <w:rPr>
            <w:rStyle w:val="Lienhypertexte"/>
          </w:rPr>
          <w:t>Décision,</w:t>
        </w:r>
        <w:r w:rsidR="00CB1937" w:rsidRPr="008A17C8">
          <w:rPr>
            <w:rStyle w:val="Lienhypertexte"/>
          </w:rPr>
          <w:t xml:space="preserve"> </w:t>
        </w:r>
        <w:r w:rsidR="00CB1937" w:rsidRPr="008A17C8">
          <w:rPr>
            <w:rStyle w:val="Lienhypertexte"/>
            <w:i/>
            <w:iCs/>
          </w:rPr>
          <w:t>X (Represented by Lawyers for Justice in Libya and REDRESS) v. Libya</w:t>
        </w:r>
        <w:r w:rsidR="00CB1937" w:rsidRPr="008A17C8">
          <w:rPr>
            <w:rStyle w:val="Lienhypertexte"/>
          </w:rPr>
          <w:t xml:space="preserve"> , 18 nov</w:t>
        </w:r>
        <w:r w:rsidRPr="008A17C8">
          <w:rPr>
            <w:rStyle w:val="Lienhypertexte"/>
          </w:rPr>
          <w:t>embre</w:t>
        </w:r>
        <w:r w:rsidR="00CB1937" w:rsidRPr="008A17C8">
          <w:rPr>
            <w:rStyle w:val="Lienhypertexte"/>
          </w:rPr>
          <w:t xml:space="preserve"> 2025, </w:t>
        </w:r>
        <w:r w:rsidRPr="008A17C8">
          <w:rPr>
            <w:rStyle w:val="Lienhypertexte"/>
          </w:rPr>
          <w:t xml:space="preserve">fond, </w:t>
        </w:r>
        <w:r w:rsidRPr="008A17C8">
          <w:rPr>
            <w:rStyle w:val="Lienhypertexte"/>
          </w:rPr>
          <w:t>Communication 582/15</w:t>
        </w:r>
        <w:r w:rsidRPr="008A17C8">
          <w:rPr>
            <w:rStyle w:val="Lienhypertexte"/>
          </w:rPr>
          <w:t>.</w:t>
        </w:r>
      </w:hyperlink>
    </w:p>
    <w:p w14:paraId="5368FF19" w14:textId="717A4340" w:rsidR="00AE7F70" w:rsidRDefault="00C85CC4" w:rsidP="00804D07">
      <w:pPr>
        <w:spacing w:line="240" w:lineRule="auto"/>
      </w:pPr>
      <w:r>
        <w:t>[</w:t>
      </w:r>
      <w:r w:rsidR="00804D07">
        <w:t>Disponible</w:t>
      </w:r>
      <w:r>
        <w:t xml:space="preserve"> uniquement en langue arabe]</w:t>
      </w:r>
    </w:p>
    <w:p w14:paraId="6D6233EF" w14:textId="1F2C8E8D" w:rsidR="00CB1937" w:rsidRPr="00CB1937" w:rsidRDefault="00CB1937" w:rsidP="00804D07">
      <w:pPr>
        <w:spacing w:line="240" w:lineRule="auto"/>
        <w:rPr>
          <w:u w:val="single"/>
        </w:rPr>
      </w:pPr>
    </w:p>
    <w:sectPr w:rsidR="00CB1937" w:rsidRPr="00CB1937" w:rsidSect="000F7447">
      <w:type w:val="continuous"/>
      <w:pgSz w:w="11900" w:h="16850"/>
      <w:pgMar w:top="1417" w:right="1417" w:bottom="1417" w:left="1417" w:header="720" w:footer="720" w:gutter="0"/>
      <w:cols w:space="720" w:equalWidth="0">
        <w:col w:w="9406"/>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2CF5B" w14:textId="77777777" w:rsidR="00B04CA6" w:rsidRDefault="00B04CA6" w:rsidP="003B6144">
      <w:pPr>
        <w:spacing w:after="0" w:line="240" w:lineRule="auto"/>
      </w:pPr>
      <w:r>
        <w:separator/>
      </w:r>
    </w:p>
  </w:endnote>
  <w:endnote w:type="continuationSeparator" w:id="0">
    <w:p w14:paraId="19D49F22" w14:textId="77777777" w:rsidR="00B04CA6" w:rsidRDefault="00B04CA6" w:rsidP="003B6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3702C" w14:textId="77777777" w:rsidR="00B04CA6" w:rsidRDefault="00B04CA6" w:rsidP="003B6144">
      <w:pPr>
        <w:spacing w:after="0" w:line="240" w:lineRule="auto"/>
      </w:pPr>
      <w:r>
        <w:separator/>
      </w:r>
    </w:p>
  </w:footnote>
  <w:footnote w:type="continuationSeparator" w:id="0">
    <w:p w14:paraId="387ACBA5" w14:textId="77777777" w:rsidR="00B04CA6" w:rsidRDefault="00B04CA6" w:rsidP="003B6144">
      <w:pPr>
        <w:spacing w:after="0" w:line="240" w:lineRule="auto"/>
      </w:pPr>
      <w:r>
        <w:continuationSeparator/>
      </w:r>
    </w:p>
  </w:footnote>
  <w:footnote w:id="1">
    <w:p w14:paraId="26269DF5" w14:textId="2A658AC1" w:rsidR="003B6144" w:rsidRDefault="003B6144">
      <w:pPr>
        <w:pStyle w:val="Notedebasdepage"/>
      </w:pPr>
      <w:r>
        <w:rPr>
          <w:rStyle w:val="Appelnotedebasdep"/>
        </w:rPr>
        <w:footnoteRef/>
      </w:r>
      <w:r>
        <w:t xml:space="preserve"> Dans la traduction anglaise de l’article 58 le terme employé est le terme « séries ». Dans la traduction française, c’est le terme « ensemble » qui est utilisé.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568E6"/>
    <w:multiLevelType w:val="multilevel"/>
    <w:tmpl w:val="40CAD7CA"/>
    <w:lvl w:ilvl="0">
      <w:start w:val="1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04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08"/>
  <w:hyphenationZone w:val="425"/>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37"/>
    <w:rsid w:val="00010413"/>
    <w:rsid w:val="00010E74"/>
    <w:rsid w:val="00013C30"/>
    <w:rsid w:val="00026E9A"/>
    <w:rsid w:val="00034661"/>
    <w:rsid w:val="00064D35"/>
    <w:rsid w:val="00065842"/>
    <w:rsid w:val="000837B7"/>
    <w:rsid w:val="0008797E"/>
    <w:rsid w:val="000B2709"/>
    <w:rsid w:val="000B542D"/>
    <w:rsid w:val="000F7447"/>
    <w:rsid w:val="0011390F"/>
    <w:rsid w:val="001348D6"/>
    <w:rsid w:val="00162B21"/>
    <w:rsid w:val="001709D3"/>
    <w:rsid w:val="00183C34"/>
    <w:rsid w:val="001A3299"/>
    <w:rsid w:val="001B4313"/>
    <w:rsid w:val="001F4AF4"/>
    <w:rsid w:val="00211C63"/>
    <w:rsid w:val="0025256F"/>
    <w:rsid w:val="0026683E"/>
    <w:rsid w:val="002C0253"/>
    <w:rsid w:val="002E1777"/>
    <w:rsid w:val="002E4FAC"/>
    <w:rsid w:val="00316E10"/>
    <w:rsid w:val="003569BD"/>
    <w:rsid w:val="00364276"/>
    <w:rsid w:val="003835B5"/>
    <w:rsid w:val="003B07EA"/>
    <w:rsid w:val="003B0F69"/>
    <w:rsid w:val="003B6144"/>
    <w:rsid w:val="003C110E"/>
    <w:rsid w:val="003C33EB"/>
    <w:rsid w:val="00405743"/>
    <w:rsid w:val="00425756"/>
    <w:rsid w:val="00435452"/>
    <w:rsid w:val="0046603A"/>
    <w:rsid w:val="00474E26"/>
    <w:rsid w:val="0049539D"/>
    <w:rsid w:val="004A19B4"/>
    <w:rsid w:val="004C0A76"/>
    <w:rsid w:val="004C7797"/>
    <w:rsid w:val="0050458A"/>
    <w:rsid w:val="00504DBF"/>
    <w:rsid w:val="0053791F"/>
    <w:rsid w:val="00575B16"/>
    <w:rsid w:val="00595A51"/>
    <w:rsid w:val="005A14AC"/>
    <w:rsid w:val="005B0607"/>
    <w:rsid w:val="005C3A01"/>
    <w:rsid w:val="005E5EB6"/>
    <w:rsid w:val="005F5097"/>
    <w:rsid w:val="006032C8"/>
    <w:rsid w:val="00621E54"/>
    <w:rsid w:val="00635139"/>
    <w:rsid w:val="0066058C"/>
    <w:rsid w:val="006B4261"/>
    <w:rsid w:val="006C71FC"/>
    <w:rsid w:val="006D64EB"/>
    <w:rsid w:val="00703E20"/>
    <w:rsid w:val="00703E3B"/>
    <w:rsid w:val="007336CD"/>
    <w:rsid w:val="007718B2"/>
    <w:rsid w:val="00777E2D"/>
    <w:rsid w:val="00792262"/>
    <w:rsid w:val="007D55DB"/>
    <w:rsid w:val="007D7A59"/>
    <w:rsid w:val="007E0BA0"/>
    <w:rsid w:val="00804D07"/>
    <w:rsid w:val="00853754"/>
    <w:rsid w:val="0086012F"/>
    <w:rsid w:val="008A17C8"/>
    <w:rsid w:val="008D044A"/>
    <w:rsid w:val="009021E7"/>
    <w:rsid w:val="009033DD"/>
    <w:rsid w:val="0090527A"/>
    <w:rsid w:val="00911550"/>
    <w:rsid w:val="00932C93"/>
    <w:rsid w:val="0097249E"/>
    <w:rsid w:val="00986F48"/>
    <w:rsid w:val="009C16C8"/>
    <w:rsid w:val="009D7C71"/>
    <w:rsid w:val="009E3237"/>
    <w:rsid w:val="009F5D6F"/>
    <w:rsid w:val="00A00B2A"/>
    <w:rsid w:val="00A02FDA"/>
    <w:rsid w:val="00A35813"/>
    <w:rsid w:val="00A41B1F"/>
    <w:rsid w:val="00A447EE"/>
    <w:rsid w:val="00A57142"/>
    <w:rsid w:val="00A777F1"/>
    <w:rsid w:val="00AA4071"/>
    <w:rsid w:val="00AB3523"/>
    <w:rsid w:val="00AD4460"/>
    <w:rsid w:val="00AE2916"/>
    <w:rsid w:val="00AE6BDE"/>
    <w:rsid w:val="00AE7F70"/>
    <w:rsid w:val="00B04CA6"/>
    <w:rsid w:val="00B527BC"/>
    <w:rsid w:val="00B87368"/>
    <w:rsid w:val="00B9380C"/>
    <w:rsid w:val="00BB2CA4"/>
    <w:rsid w:val="00BC41AF"/>
    <w:rsid w:val="00BD3D8F"/>
    <w:rsid w:val="00BF7C6D"/>
    <w:rsid w:val="00C053EC"/>
    <w:rsid w:val="00C13641"/>
    <w:rsid w:val="00C15AC4"/>
    <w:rsid w:val="00C34DB0"/>
    <w:rsid w:val="00C37082"/>
    <w:rsid w:val="00C376AD"/>
    <w:rsid w:val="00C84CFD"/>
    <w:rsid w:val="00C85CC4"/>
    <w:rsid w:val="00C96FA7"/>
    <w:rsid w:val="00CB1937"/>
    <w:rsid w:val="00D07DBD"/>
    <w:rsid w:val="00D27901"/>
    <w:rsid w:val="00D3623D"/>
    <w:rsid w:val="00D402E1"/>
    <w:rsid w:val="00DA1E08"/>
    <w:rsid w:val="00DD3EFF"/>
    <w:rsid w:val="00E032EE"/>
    <w:rsid w:val="00E137AE"/>
    <w:rsid w:val="00E14B23"/>
    <w:rsid w:val="00E6240E"/>
    <w:rsid w:val="00E726C2"/>
    <w:rsid w:val="00E8352F"/>
    <w:rsid w:val="00E86951"/>
    <w:rsid w:val="00E8760A"/>
    <w:rsid w:val="00E92FA2"/>
    <w:rsid w:val="00E951A3"/>
    <w:rsid w:val="00ED7EB0"/>
    <w:rsid w:val="00EF2635"/>
    <w:rsid w:val="00F120DC"/>
    <w:rsid w:val="00F34791"/>
    <w:rsid w:val="00F41F38"/>
    <w:rsid w:val="00F43A81"/>
    <w:rsid w:val="00F468D2"/>
    <w:rsid w:val="00F50C14"/>
    <w:rsid w:val="00F611E9"/>
    <w:rsid w:val="00F82986"/>
    <w:rsid w:val="00F84590"/>
    <w:rsid w:val="00F94513"/>
    <w:rsid w:val="00FA2534"/>
    <w:rsid w:val="00FC7F72"/>
    <w:rsid w:val="00FF3D0A"/>
    <w:rsid w:val="00FF78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2101CA2"/>
  <w15:chartTrackingRefBased/>
  <w15:docId w15:val="{56A34173-B6AB-854C-B9A0-9095BEFE7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37"/>
    <w:pPr>
      <w:jc w:val="both"/>
    </w:pPr>
    <w:rPr>
      <w:rFonts w:ascii="Times New Roman" w:hAnsi="Times New Roman"/>
      <w:szCs w:val="22"/>
    </w:rPr>
  </w:style>
  <w:style w:type="paragraph" w:styleId="Titre1">
    <w:name w:val="heading 1"/>
    <w:basedOn w:val="Normal"/>
    <w:next w:val="Normal"/>
    <w:link w:val="Titre1Car"/>
    <w:uiPriority w:val="9"/>
    <w:qFormat/>
    <w:rsid w:val="00BD3D8F"/>
    <w:pPr>
      <w:keepNext/>
      <w:keepLines/>
      <w:spacing w:before="360"/>
      <w:jc w:val="center"/>
      <w:outlineLvl w:val="0"/>
    </w:pPr>
    <w:rPr>
      <w:rFonts w:eastAsiaTheme="majorEastAsia" w:cstheme="majorBidi"/>
      <w:color w:val="000000" w:themeColor="text1"/>
      <w:sz w:val="48"/>
      <w:szCs w:val="40"/>
      <w:u w:val="single"/>
    </w:rPr>
  </w:style>
  <w:style w:type="paragraph" w:styleId="Titre2">
    <w:name w:val="heading 2"/>
    <w:basedOn w:val="Normal"/>
    <w:next w:val="Normal"/>
    <w:link w:val="Titre2Car"/>
    <w:uiPriority w:val="9"/>
    <w:semiHidden/>
    <w:unhideWhenUsed/>
    <w:qFormat/>
    <w:rsid w:val="00CB1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B19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semiHidden/>
    <w:unhideWhenUsed/>
    <w:qFormat/>
    <w:rsid w:val="005E5EB6"/>
    <w:pPr>
      <w:keepNext/>
      <w:spacing w:after="0" w:line="240" w:lineRule="auto"/>
      <w:jc w:val="center"/>
      <w:outlineLvl w:val="3"/>
    </w:pPr>
    <w:rPr>
      <w:rFonts w:eastAsia="Times New Roman" w:cs="Times New Roman"/>
      <w:b/>
      <w:sz w:val="32"/>
      <w:szCs w:val="20"/>
      <w:lang w:eastAsia="fr-FR"/>
    </w:rPr>
  </w:style>
  <w:style w:type="paragraph" w:styleId="Titre5">
    <w:name w:val="heading 5"/>
    <w:basedOn w:val="Normal"/>
    <w:next w:val="Normal"/>
    <w:link w:val="Titre5Car"/>
    <w:uiPriority w:val="9"/>
    <w:semiHidden/>
    <w:unhideWhenUsed/>
    <w:qFormat/>
    <w:rsid w:val="00CB1937"/>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CB19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CB1937"/>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CB1937"/>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semiHidden/>
    <w:unhideWhenUsed/>
    <w:qFormat/>
    <w:rsid w:val="005E5EB6"/>
    <w:pPr>
      <w:keepNext/>
      <w:spacing w:after="0" w:line="240" w:lineRule="auto"/>
      <w:jc w:val="right"/>
      <w:outlineLvl w:val="8"/>
    </w:pPr>
    <w:rPr>
      <w:rFonts w:ascii="Times" w:eastAsia="Times New Roman" w:hAnsi="Times" w:cs="Times New Roman"/>
      <w:sz w:val="28"/>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semiHidden/>
    <w:rsid w:val="005E5EB6"/>
    <w:rPr>
      <w:rFonts w:ascii="Times New Roman" w:eastAsia="Times New Roman" w:hAnsi="Times New Roman" w:cs="Times New Roman"/>
      <w:b/>
      <w:sz w:val="32"/>
      <w:szCs w:val="20"/>
      <w:lang w:eastAsia="fr-FR"/>
    </w:rPr>
  </w:style>
  <w:style w:type="character" w:customStyle="1" w:styleId="Titre9Car">
    <w:name w:val="Titre 9 Car"/>
    <w:basedOn w:val="Policepardfaut"/>
    <w:link w:val="Titre9"/>
    <w:semiHidden/>
    <w:rsid w:val="005E5EB6"/>
    <w:rPr>
      <w:rFonts w:ascii="Times" w:eastAsia="Times New Roman" w:hAnsi="Times" w:cs="Times New Roman"/>
      <w:sz w:val="28"/>
      <w:szCs w:val="20"/>
      <w:lang w:eastAsia="fr-FR"/>
    </w:rPr>
  </w:style>
  <w:style w:type="paragraph" w:styleId="Sansinterligne">
    <w:name w:val="No Spacing"/>
    <w:uiPriority w:val="1"/>
    <w:qFormat/>
    <w:rsid w:val="005E5EB6"/>
    <w:rPr>
      <w:sz w:val="22"/>
      <w:szCs w:val="22"/>
    </w:rPr>
  </w:style>
  <w:style w:type="paragraph" w:styleId="Paragraphedeliste">
    <w:name w:val="List Paragraph"/>
    <w:basedOn w:val="Normal"/>
    <w:uiPriority w:val="34"/>
    <w:qFormat/>
    <w:rsid w:val="005E5EB6"/>
    <w:pPr>
      <w:ind w:left="720"/>
      <w:contextualSpacing/>
    </w:pPr>
  </w:style>
  <w:style w:type="character" w:customStyle="1" w:styleId="Titre1Car">
    <w:name w:val="Titre 1 Car"/>
    <w:basedOn w:val="Policepardfaut"/>
    <w:link w:val="Titre1"/>
    <w:uiPriority w:val="9"/>
    <w:rsid w:val="00BD3D8F"/>
    <w:rPr>
      <w:rFonts w:ascii="Times New Roman" w:eastAsiaTheme="majorEastAsia" w:hAnsi="Times New Roman" w:cstheme="majorBidi"/>
      <w:color w:val="000000" w:themeColor="text1"/>
      <w:sz w:val="48"/>
      <w:szCs w:val="40"/>
      <w:u w:val="single"/>
    </w:rPr>
  </w:style>
  <w:style w:type="character" w:customStyle="1" w:styleId="Titre2Car">
    <w:name w:val="Titre 2 Car"/>
    <w:basedOn w:val="Policepardfaut"/>
    <w:link w:val="Titre2"/>
    <w:uiPriority w:val="9"/>
    <w:semiHidden/>
    <w:rsid w:val="00CB19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B1937"/>
    <w:rPr>
      <w:rFonts w:eastAsiaTheme="majorEastAsia" w:cstheme="majorBidi"/>
      <w:color w:val="0F4761" w:themeColor="accent1" w:themeShade="BF"/>
      <w:sz w:val="28"/>
      <w:szCs w:val="28"/>
    </w:rPr>
  </w:style>
  <w:style w:type="character" w:customStyle="1" w:styleId="Titre5Car">
    <w:name w:val="Titre 5 Car"/>
    <w:basedOn w:val="Policepardfaut"/>
    <w:link w:val="Titre5"/>
    <w:uiPriority w:val="9"/>
    <w:semiHidden/>
    <w:rsid w:val="00CB1937"/>
    <w:rPr>
      <w:rFonts w:eastAsiaTheme="majorEastAsia" w:cstheme="majorBidi"/>
      <w:color w:val="0F4761" w:themeColor="accent1" w:themeShade="BF"/>
      <w:szCs w:val="22"/>
    </w:rPr>
  </w:style>
  <w:style w:type="character" w:customStyle="1" w:styleId="Titre6Car">
    <w:name w:val="Titre 6 Car"/>
    <w:basedOn w:val="Policepardfaut"/>
    <w:link w:val="Titre6"/>
    <w:uiPriority w:val="9"/>
    <w:semiHidden/>
    <w:rsid w:val="00CB1937"/>
    <w:rPr>
      <w:rFonts w:eastAsiaTheme="majorEastAsia" w:cstheme="majorBidi"/>
      <w:i/>
      <w:iCs/>
      <w:color w:val="595959" w:themeColor="text1" w:themeTint="A6"/>
      <w:szCs w:val="22"/>
    </w:rPr>
  </w:style>
  <w:style w:type="character" w:customStyle="1" w:styleId="Titre7Car">
    <w:name w:val="Titre 7 Car"/>
    <w:basedOn w:val="Policepardfaut"/>
    <w:link w:val="Titre7"/>
    <w:uiPriority w:val="9"/>
    <w:semiHidden/>
    <w:rsid w:val="00CB1937"/>
    <w:rPr>
      <w:rFonts w:eastAsiaTheme="majorEastAsia" w:cstheme="majorBidi"/>
      <w:color w:val="595959" w:themeColor="text1" w:themeTint="A6"/>
      <w:szCs w:val="22"/>
    </w:rPr>
  </w:style>
  <w:style w:type="character" w:customStyle="1" w:styleId="Titre8Car">
    <w:name w:val="Titre 8 Car"/>
    <w:basedOn w:val="Policepardfaut"/>
    <w:link w:val="Titre8"/>
    <w:uiPriority w:val="9"/>
    <w:semiHidden/>
    <w:rsid w:val="00CB1937"/>
    <w:rPr>
      <w:rFonts w:eastAsiaTheme="majorEastAsia" w:cstheme="majorBidi"/>
      <w:i/>
      <w:iCs/>
      <w:color w:val="272727" w:themeColor="text1" w:themeTint="D8"/>
      <w:szCs w:val="22"/>
    </w:rPr>
  </w:style>
  <w:style w:type="paragraph" w:styleId="Titre">
    <w:name w:val="Title"/>
    <w:basedOn w:val="Normal"/>
    <w:next w:val="Normal"/>
    <w:link w:val="TitreCar"/>
    <w:uiPriority w:val="10"/>
    <w:qFormat/>
    <w:rsid w:val="00CB1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19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193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19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193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B1937"/>
    <w:rPr>
      <w:rFonts w:ascii="Times New Roman" w:hAnsi="Times New Roman"/>
      <w:i/>
      <w:iCs/>
      <w:color w:val="404040" w:themeColor="text1" w:themeTint="BF"/>
      <w:szCs w:val="22"/>
    </w:rPr>
  </w:style>
  <w:style w:type="character" w:styleId="Accentuationintense">
    <w:name w:val="Intense Emphasis"/>
    <w:basedOn w:val="Policepardfaut"/>
    <w:uiPriority w:val="21"/>
    <w:qFormat/>
    <w:rsid w:val="00CB1937"/>
    <w:rPr>
      <w:i/>
      <w:iCs/>
      <w:color w:val="0F4761" w:themeColor="accent1" w:themeShade="BF"/>
    </w:rPr>
  </w:style>
  <w:style w:type="paragraph" w:styleId="Citationintense">
    <w:name w:val="Intense Quote"/>
    <w:basedOn w:val="Normal"/>
    <w:next w:val="Normal"/>
    <w:link w:val="CitationintenseCar"/>
    <w:uiPriority w:val="30"/>
    <w:qFormat/>
    <w:rsid w:val="00CB1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1937"/>
    <w:rPr>
      <w:rFonts w:ascii="Times New Roman" w:hAnsi="Times New Roman"/>
      <w:i/>
      <w:iCs/>
      <w:color w:val="0F4761" w:themeColor="accent1" w:themeShade="BF"/>
      <w:szCs w:val="22"/>
    </w:rPr>
  </w:style>
  <w:style w:type="character" w:styleId="Rfrenceintense">
    <w:name w:val="Intense Reference"/>
    <w:basedOn w:val="Policepardfaut"/>
    <w:uiPriority w:val="32"/>
    <w:qFormat/>
    <w:rsid w:val="00CB1937"/>
    <w:rPr>
      <w:b/>
      <w:bCs/>
      <w:smallCaps/>
      <w:color w:val="0F4761" w:themeColor="accent1" w:themeShade="BF"/>
      <w:spacing w:val="5"/>
    </w:rPr>
  </w:style>
  <w:style w:type="character" w:styleId="Lienhypertexte">
    <w:name w:val="Hyperlink"/>
    <w:basedOn w:val="Policepardfaut"/>
    <w:uiPriority w:val="99"/>
    <w:unhideWhenUsed/>
    <w:rsid w:val="00CB1937"/>
    <w:rPr>
      <w:color w:val="467886" w:themeColor="hyperlink"/>
      <w:u w:val="single"/>
    </w:rPr>
  </w:style>
  <w:style w:type="character" w:styleId="Mentionnonrsolue">
    <w:name w:val="Unresolved Mention"/>
    <w:basedOn w:val="Policepardfaut"/>
    <w:uiPriority w:val="99"/>
    <w:semiHidden/>
    <w:unhideWhenUsed/>
    <w:rsid w:val="00CB1937"/>
    <w:rPr>
      <w:color w:val="605E5C"/>
      <w:shd w:val="clear" w:color="auto" w:fill="E1DFDD"/>
    </w:rPr>
  </w:style>
  <w:style w:type="paragraph" w:styleId="Notedebasdepage">
    <w:name w:val="footnote text"/>
    <w:basedOn w:val="Normal"/>
    <w:link w:val="NotedebasdepageCar"/>
    <w:uiPriority w:val="99"/>
    <w:semiHidden/>
    <w:unhideWhenUsed/>
    <w:rsid w:val="003B614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B6144"/>
    <w:rPr>
      <w:rFonts w:ascii="Times New Roman" w:hAnsi="Times New Roman"/>
      <w:sz w:val="20"/>
      <w:szCs w:val="20"/>
    </w:rPr>
  </w:style>
  <w:style w:type="character" w:styleId="Appelnotedebasdep">
    <w:name w:val="footnote reference"/>
    <w:basedOn w:val="Policepardfaut"/>
    <w:uiPriority w:val="99"/>
    <w:semiHidden/>
    <w:unhideWhenUsed/>
    <w:rsid w:val="003B6144"/>
    <w:rPr>
      <w:vertAlign w:val="superscript"/>
    </w:rPr>
  </w:style>
  <w:style w:type="paragraph" w:styleId="NormalWeb">
    <w:name w:val="Normal (Web)"/>
    <w:basedOn w:val="Normal"/>
    <w:uiPriority w:val="99"/>
    <w:semiHidden/>
    <w:unhideWhenUsed/>
    <w:rsid w:val="002C0253"/>
    <w:pPr>
      <w:spacing w:before="100" w:beforeAutospacing="1" w:after="100" w:afterAutospacing="1" w:line="240" w:lineRule="auto"/>
      <w:jc w:val="left"/>
    </w:pPr>
    <w:rPr>
      <w:rFonts w:eastAsia="Times New Roman" w:cs="Times New Roman"/>
      <w:szCs w:val="24"/>
      <w:lang w:eastAsia="fr-FR"/>
    </w:rPr>
  </w:style>
  <w:style w:type="character" w:styleId="Lienhypertextesuivivisit">
    <w:name w:val="FollowedHyperlink"/>
    <w:basedOn w:val="Policepardfaut"/>
    <w:uiPriority w:val="99"/>
    <w:semiHidden/>
    <w:unhideWhenUsed/>
    <w:rsid w:val="00D279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hpr.au.int/index.php/en/decisions-communications/three-jehovahs-witnesse-v-eritrea" TargetMode="External"/><Relationship Id="rId13" Type="http://schemas.openxmlformats.org/officeDocument/2006/relationships/hyperlink" Target="https://achpr.au.int/index.php/en/decisions-communications/communication-70418" TargetMode="External"/><Relationship Id="rId18" Type="http://schemas.openxmlformats.org/officeDocument/2006/relationships/hyperlink" Target="https://achpr.au.int/index.php/en/decisions-communications/communication-7742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chpr.au.int/index.php/fr/decisions-communications/communication-74420" TargetMode="External"/><Relationship Id="rId17" Type="http://schemas.openxmlformats.org/officeDocument/2006/relationships/hyperlink" Target="https://achpr.au.int/index.php/en/decisions-communications/communication-80122" TargetMode="External"/><Relationship Id="rId2" Type="http://schemas.openxmlformats.org/officeDocument/2006/relationships/numbering" Target="numbering.xml"/><Relationship Id="rId16" Type="http://schemas.openxmlformats.org/officeDocument/2006/relationships/hyperlink" Target="https://achpr.au.int/index.php/en/decisions-communications/communication-7091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mmunication%20796/22%20-%20Rose%20Modong%20Samuel%20and%20Three%20Others%20(Represented%20by%20John%20Gerry%20&amp;%20Co.%20Legal%20Practitioners)%20v.%20South%20Sudan%20(merits)" TargetMode="External"/><Relationship Id="rId5" Type="http://schemas.openxmlformats.org/officeDocument/2006/relationships/webSettings" Target="webSettings.xml"/><Relationship Id="rId15" Type="http://schemas.openxmlformats.org/officeDocument/2006/relationships/hyperlink" Target="https://achpr.au.int/index.php/fr/decisions-communications/communication-74120" TargetMode="External"/><Relationship Id="rId10" Type="http://schemas.openxmlformats.org/officeDocument/2006/relationships/hyperlink" Target="https://achpr.au.int/fr/decisions-communications/50214-communication-50214" TargetMode="External"/><Relationship Id="rId19" Type="http://schemas.openxmlformats.org/officeDocument/2006/relationships/hyperlink" Target="https://achpr.au.int/index.php/en/decisions-communications/communication-58215" TargetMode="External"/><Relationship Id="rId4" Type="http://schemas.openxmlformats.org/officeDocument/2006/relationships/settings" Target="settings.xml"/><Relationship Id="rId9" Type="http://schemas.openxmlformats.org/officeDocument/2006/relationships/hyperlink" Target="https://achpr.au.int/index.php/en/decisions-communications/communication-37709" TargetMode="External"/><Relationship Id="rId14" Type="http://schemas.openxmlformats.org/officeDocument/2006/relationships/hyperlink" Target="https://achpr.au.int/index.php/en/decisions-communications/communication-4711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45534-2376-4D4D-B2E0-B4AD5EA35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9</Pages>
  <Words>4938</Words>
  <Characters>27160</Characters>
  <Application>Microsoft Office Word</Application>
  <DocSecurity>0</DocSecurity>
  <Lines>226</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Decroix</dc:creator>
  <cp:keywords/>
  <dc:description/>
  <cp:lastModifiedBy>Alexandre Decroix</cp:lastModifiedBy>
  <cp:revision>25</cp:revision>
  <dcterms:created xsi:type="dcterms:W3CDTF">2026-01-19T12:22:00Z</dcterms:created>
  <dcterms:modified xsi:type="dcterms:W3CDTF">2026-01-23T13:27:00Z</dcterms:modified>
</cp:coreProperties>
</file>