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Policy</w:t>
      </w:r>
    </w:p>
    <w:p>
      <w:r>
        <w:t>Policy reference LEG-04. Owner: Legal. Effective 1 April 2026. This policy sets how long Fernhollow Instruments keeps business records and personal data, and how they are deleted at the end of that time.</w:t>
      </w:r>
    </w:p>
    <w:p>
      <w:pPr>
        <w:pStyle w:val="Heading1"/>
      </w:pPr>
      <w:r>
        <w:t>Purpose</w:t>
      </w:r>
    </w:p>
    <w:p>
      <w:r>
        <w:t>Keeping records for too long creates privacy and security risk; deleting them too early can break legal and tax obligations. Every record type therefore has one retention period and one owner. Questions go to the Data Protection Officer at privacy@fernhollow.example.</w:t>
      </w:r>
    </w:p>
    <w:p>
      <w:pPr>
        <w:pStyle w:val="Heading1"/>
      </w:pPr>
      <w:r>
        <w:t>Retention periods</w:t>
      </w:r>
    </w:p>
    <w:tbl>
      <w:tblPr>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Retention period</w:t>
            </w:r>
          </w:p>
        </w:tc>
        <w:tc>
          <w:tcPr>
            <w:tcW w:type="dxa" w:w="2880"/>
          </w:tcPr>
          <w:p>
            <w:r>
              <w:t>Owner</w:t>
            </w:r>
          </w:p>
        </w:tc>
      </w:tr>
      <w:tr>
        <w:tc>
          <w:tcPr>
            <w:tcW w:type="dxa" w:w="2880"/>
          </w:tcPr>
          <w:p>
            <w:r>
              <w:t>Customer invoices and payment records</w:t>
            </w:r>
          </w:p>
        </w:tc>
        <w:tc>
          <w:tcPr>
            <w:tcW w:type="dxa" w:w="2880"/>
          </w:tcPr>
          <w:p>
            <w:r>
              <w:t>7 years after the end of the financial year</w:t>
            </w:r>
          </w:p>
        </w:tc>
        <w:tc>
          <w:tcPr>
            <w:tcW w:type="dxa" w:w="2880"/>
          </w:tcPr>
          <w:p>
            <w:r>
              <w:t>Finance</w:t>
            </w:r>
          </w:p>
        </w:tc>
      </w:tr>
      <w:tr>
        <w:tc>
          <w:tcPr>
            <w:tcW w:type="dxa" w:w="2880"/>
          </w:tcPr>
          <w:p>
            <w:r>
              <w:t>Employee records (contracts and payroll)</w:t>
            </w:r>
          </w:p>
        </w:tc>
        <w:tc>
          <w:tcPr>
            <w:tcW w:type="dxa" w:w="2880"/>
          </w:tcPr>
          <w:p>
            <w:r>
              <w:t>6 years after employment ends</w:t>
            </w:r>
          </w:p>
        </w:tc>
        <w:tc>
          <w:tcPr>
            <w:tcW w:type="dxa" w:w="2880"/>
          </w:tcPr>
          <w:p>
            <w:r>
              <w:t>People Operations</w:t>
            </w:r>
          </w:p>
        </w:tc>
      </w:tr>
      <w:tr>
        <w:tc>
          <w:tcPr>
            <w:tcW w:type="dxa" w:w="2880"/>
          </w:tcPr>
          <w:p>
            <w:r>
              <w:t>Unsuccessful job applications</w:t>
            </w:r>
          </w:p>
        </w:tc>
        <w:tc>
          <w:tcPr>
            <w:tcW w:type="dxa" w:w="2880"/>
          </w:tcPr>
          <w:p>
            <w:r>
              <w:t>6 months after the role is filled</w:t>
            </w:r>
          </w:p>
        </w:tc>
        <w:tc>
          <w:tcPr>
            <w:tcW w:type="dxa" w:w="2880"/>
          </w:tcPr>
          <w:p>
            <w:r>
              <w:t>People Operations</w:t>
            </w:r>
          </w:p>
        </w:tc>
      </w:tr>
      <w:tr>
        <w:tc>
          <w:tcPr>
            <w:tcW w:type="dxa" w:w="2880"/>
          </w:tcPr>
          <w:p>
            <w:r>
              <w:t>Customer support tickets</w:t>
            </w:r>
          </w:p>
        </w:tc>
        <w:tc>
          <w:tcPr>
            <w:tcW w:type="dxa" w:w="2880"/>
          </w:tcPr>
          <w:p>
            <w:r>
              <w:t>3 years after the ticket is closed</w:t>
            </w:r>
          </w:p>
        </w:tc>
        <w:tc>
          <w:tcPr>
            <w:tcW w:type="dxa" w:w="2880"/>
          </w:tcPr>
          <w:p>
            <w:r>
              <w:t>Customer Support</w:t>
            </w:r>
          </w:p>
        </w:tc>
      </w:tr>
      <w:tr>
        <w:tc>
          <w:tcPr>
            <w:tcW w:type="dxa" w:w="2880"/>
          </w:tcPr>
          <w:p>
            <w:r>
              <w:t>Sensor telemetry in Fernhollow Cloud</w:t>
            </w:r>
          </w:p>
        </w:tc>
        <w:tc>
          <w:tcPr>
            <w:tcW w:type="dxa" w:w="2880"/>
          </w:tcPr>
          <w:p>
            <w:r>
              <w:t>24 months on Standard, 60 months on Pro</w:t>
            </w:r>
          </w:p>
        </w:tc>
        <w:tc>
          <w:tcPr>
            <w:tcW w:type="dxa" w:w="2880"/>
          </w:tcPr>
          <w:p>
            <w:r>
              <w:t>Cloud Operations</w:t>
            </w:r>
          </w:p>
        </w:tc>
      </w:tr>
      <w:tr>
        <w:tc>
          <w:tcPr>
            <w:tcW w:type="dxa" w:w="2880"/>
          </w:tcPr>
          <w:p>
            <w:r>
              <w:t>CCTV footage</w:t>
            </w:r>
          </w:p>
        </w:tc>
        <w:tc>
          <w:tcPr>
            <w:tcW w:type="dxa" w:w="2880"/>
          </w:tcPr>
          <w:p>
            <w:r>
              <w:t>30 days</w:t>
            </w:r>
          </w:p>
        </w:tc>
        <w:tc>
          <w:tcPr>
            <w:tcW w:type="dxa" w:w="2880"/>
          </w:tcPr>
          <w:p>
            <w:r>
              <w:t>Facilities</w:t>
            </w:r>
          </w:p>
        </w:tc>
      </w:tr>
      <w:tr>
        <w:tc>
          <w:tcPr>
            <w:tcW w:type="dxa" w:w="2880"/>
          </w:tcPr>
          <w:p>
            <w:r>
              <w:t>Visitor log</w:t>
            </w:r>
          </w:p>
        </w:tc>
        <w:tc>
          <w:tcPr>
            <w:tcW w:type="dxa" w:w="2880"/>
          </w:tcPr>
          <w:p>
            <w:r>
              <w:t>12 months</w:t>
            </w:r>
          </w:p>
        </w:tc>
        <w:tc>
          <w:tcPr>
            <w:tcW w:type="dxa" w:w="2880"/>
          </w:tcPr>
          <w:p>
            <w:r>
              <w:t>Facilities</w:t>
            </w:r>
          </w:p>
        </w:tc>
      </w:tr>
      <w:tr>
        <w:tc>
          <w:tcPr>
            <w:tcW w:type="dxa" w:w="2880"/>
          </w:tcPr>
          <w:p>
            <w:r>
              <w:t>Security incident reports</w:t>
            </w:r>
          </w:p>
        </w:tc>
        <w:tc>
          <w:tcPr>
            <w:tcW w:type="dxa" w:w="2880"/>
          </w:tcPr>
          <w:p>
            <w:r>
              <w:t>5 years after the incident is closed</w:t>
            </w:r>
          </w:p>
        </w:tc>
        <w:tc>
          <w:tcPr>
            <w:tcW w:type="dxa" w:w="2880"/>
          </w:tcPr>
          <w:p>
            <w:r>
              <w:t>IT Security</w:t>
            </w:r>
          </w:p>
        </w:tc>
      </w:tr>
    </w:tbl>
    <w:p>
      <w:pPr>
        <w:pStyle w:val="Heading1"/>
      </w:pPr>
      <w:r>
        <w:t>Deletion</w:t>
      </w:r>
    </w:p>
    <w:p>
      <w:r>
        <w:t>Records are deleted at the end of their retention period as follows:</w:t>
      </w:r>
    </w:p>
    <w:p>
      <w:pPr>
        <w:pStyle w:val="ListBullet"/>
      </w:pPr>
      <w:r>
        <w:t>Electronic records are removed by an automated deletion job that runs on the first Monday of every month.</w:t>
      </w:r>
    </w:p>
    <w:p>
      <w:pPr>
        <w:pStyle w:val="ListBullet"/>
      </w:pPr>
      <w:r>
        <w:t>Paper records are placed in the locked secure shredding bins on each floor.</w:t>
      </w:r>
    </w:p>
    <w:p>
      <w:pPr>
        <w:pStyle w:val="ListBullet"/>
      </w:pPr>
      <w:r>
        <w:t>The shredding contractor issues a certificate of destruction, which Facilities keeps for 2 years.</w:t>
      </w:r>
    </w:p>
    <w:p>
      <w:pPr>
        <w:pStyle w:val="Heading2"/>
      </w:pPr>
      <w:r>
        <w:t>Legal hold</w:t>
      </w:r>
    </w:p>
    <w:p>
      <w:r>
        <w:t>Legal can place a legal hold on records that may be needed for a dispute, an audit or an investigation. Records under legal hold are not deleted, even when their retention period has ended. Record owners are notified by email, and every legal hold is reviewed every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Retention Policy</dc:title>
  <dc:subject/>
  <dc:creator>Fernhollow Legal</dc:creator>
  <cp:keywords/>
  <dc:description/>
  <cp:lastModifiedBy>Fernhollow Legal</cp:lastModifiedBy>
  <cp:revision>1</cp:revision>
  <dcterms:created xsi:type="dcterms:W3CDTF">2013-12-23T23:15:00Z</dcterms:created>
  <dcterms:modified xsi:type="dcterms:W3CDTF">2013-12-23T23:15:00Z</dcterms:modified>
  <cp:category/>
</cp:coreProperties>
</file>