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b2q0oyjpdtw" w:id="0"/>
      <w:bookmarkEnd w:id="0"/>
      <w:r w:rsidDel="00000000" w:rsidR="00000000" w:rsidRPr="00000000">
        <w:rPr>
          <w:rtl w:val="0"/>
        </w:rPr>
        <w:t xml:space="preserve">Set de preguntas realizadas sobre un solo dataset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tz95fnfvzhb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las facturas por pagar cuál es la más alta?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Correcta: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391857" cy="2073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857" cy="207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las facturas por pagar cuál es la más alta?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Correcta: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517102" cy="27023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7102" cy="270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Cuál es el total de facturas por cobrar emitidas en mayo?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Respuesta correcta: $121k (12 facturas)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85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5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Cómo variaron por mes las facturas por cobrar y por pagar? considera la fecha de emisión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Respuesta correcta: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Cuál es el proveedor que mayor monto total de facturas por pagar emitió?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Respuesta correcta: Vendedor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466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cuál es el proveedor que ha tenido la factura por pagar con los términos de pago más generosos?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Respuesta correcta: Vendedor 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3780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78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deben calcular los términos de pago (fecha de vencimiento - fecha de emisión)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nAX_f2mtORYl8EU3sgFcCqZIcfqS5cK/edit?usp=share_link&amp;ouid=101059245235523895238&amp;rtpof=true&amp;sd=tru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