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able-of-contents"/>
    <w:p>
      <w:pPr>
        <w:pStyle w:val="Heading1"/>
      </w:pPr>
      <w:r>
        <w:t xml:space="preserve">Table of Contents</w:t>
      </w:r>
    </w:p>
    <w:bookmarkEnd w:id="20"/>
    <w:bookmarkStart w:id="57" w:name="naming-conventions-aws-dbks-infra"/>
    <w:p>
      <w:pPr>
        <w:pStyle w:val="Heading1"/>
      </w:pPr>
      <w:r>
        <w:t xml:space="preserve">Naming Conventions — aws-dbks-infra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Databricks Unity Catalog on AWS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1.2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defines naming conventions for all artifacts in the</w:t>
      </w:r>
      <w:r>
        <w:t xml:space="preserve"> </w:t>
      </w:r>
      <w:r>
        <w:rPr>
          <w:rStyle w:val="VerbatimChar"/>
        </w:rPr>
        <w:t xml:space="preserve">aws-dbks-infra</w:t>
      </w:r>
      <w:r>
        <w:t xml:space="preserve"> </w:t>
      </w:r>
      <w:r>
        <w:t xml:space="preserve">project. All names must follow these rules before any</w:t>
      </w:r>
      <w:r>
        <w:t xml:space="preserve"> </w:t>
      </w:r>
      <w:r>
        <w:t xml:space="preserve">Terraform code is written.</w:t>
      </w:r>
    </w:p>
    <w:bookmarkStart w:id="21" w:name="global-pattern-aws-infrastructure"/>
    <w:p>
      <w:pPr>
        <w:pStyle w:val="Heading3"/>
      </w:pPr>
      <w:r>
        <w:t xml:space="preserve">Global Pattern (AWS &amp; Infrastructure)</w:t>
      </w:r>
    </w:p>
    <w:p>
      <w:pPr>
        <w:pStyle w:val="SourceCode"/>
      </w:pPr>
      <w:r>
        <w:rPr>
          <w:rStyle w:val="VerbatimChar"/>
        </w:rPr>
        <w:t xml:space="preserve">{project-name}-{environment}-{service}-{descriptor}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501"/>
        <w:gridCol w:w="2605"/>
        <w:gridCol w:w="26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for all AWS/infra</w:t>
            </w:r>
            <w:r>
              <w:t xml:space="preserve"> </w:t>
            </w: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only for</w:t>
            </w:r>
            <w:r>
              <w:t xml:space="preserve"> </w:t>
            </w:r>
            <w:r>
              <w:t xml:space="preserve">shared/global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iam-role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iam-policy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dynamo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or Databricks infra</w:t>
            </w:r>
            <w:r>
              <w:t xml:space="preserve"> </w:t>
            </w:r>
            <w:r>
              <w:t xml:space="preserve">service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workspace-root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cross-account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Short, hyphen-separated</w:t>
            </w:r>
            <w:r>
              <w:t xml:space="preserve"> </w:t>
            </w:r>
            <w:r>
              <w:t xml:space="preserve">description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Databricks data objects (catalogs, schemas, tables) follow a</w:t>
      </w:r>
      <w:r>
        <w:t xml:space="preserve"> </w:t>
      </w:r>
      <w:r>
        <w:rPr>
          <w:b/>
          <w:bCs/>
        </w:rPr>
        <w:t xml:space="preserve">different project-centric pattern</w:t>
      </w:r>
      <w:r>
        <w:t xml:space="preserve"> </w:t>
      </w:r>
      <w:r>
        <w:t xml:space="preserve">— see the Databricks section</w:t>
      </w:r>
      <w:r>
        <w:t xml:space="preserve"> </w:t>
      </w:r>
      <w:r>
        <w:t xml:space="preserve">below.</w:t>
      </w:r>
    </w:p>
    <w:bookmarkEnd w:id="21"/>
    <w:bookmarkStart w:id="22" w:name="general-rules"/>
    <w:p>
      <w:pPr>
        <w:pStyle w:val="Heading3"/>
      </w:pPr>
      <w:r>
        <w:t xml:space="preserve">General Rules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lowercase letters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hyphens</w:t>
      </w:r>
      <w:r>
        <w:t xml:space="preserve"> </w:t>
      </w:r>
      <w:r>
        <w:t xml:space="preserve">(</w:t>
      </w:r>
      <w:r>
        <w:rPr>
          <w:rStyle w:val="VerbatimChar"/>
        </w:rPr>
        <w:t xml:space="preserve">-</w:t>
      </w:r>
      <w:r>
        <w:t xml:space="preserve">) for AWS and infra</w:t>
      </w:r>
      <w:r>
        <w:t xml:space="preserve"> </w:t>
      </w:r>
      <w:r>
        <w:t xml:space="preserve">names.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underscores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_</w:t>
      </w:r>
      <w:r>
        <w:t xml:space="preserve">) are not used in infra names but are</w:t>
      </w:r>
      <w:r>
        <w:t xml:space="preserve"> </w:t>
      </w:r>
      <w:r>
        <w:t xml:space="preserve">allowed in Databricks object names (schemas, tables).</w:t>
      </w:r>
    </w:p>
    <w:p>
      <w:pPr>
        <w:pStyle w:val="Compact"/>
        <w:numPr>
          <w:ilvl w:val="0"/>
          <w:numId w:val="1001"/>
        </w:numPr>
      </w:pPr>
      <w:r>
        <w:t xml:space="preserve">Segments are always joined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for infra,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for Databricks</w:t>
      </w:r>
      <w:r>
        <w:t xml:space="preserve"> </w:t>
      </w:r>
      <w:r>
        <w:t xml:space="preserve">object references.</w:t>
      </w:r>
    </w:p>
    <w:p>
      <w:pPr>
        <w:pStyle w:val="Compact"/>
        <w:numPr>
          <w:ilvl w:val="0"/>
          <w:numId w:val="1001"/>
        </w:numPr>
      </w:pPr>
      <w:r>
        <w:t xml:space="preserve">Shared/global resources omit the</w:t>
      </w:r>
      <w:r>
        <w:t xml:space="preserve"> </w:t>
      </w:r>
      <w:r>
        <w:rPr>
          <w:rStyle w:val="VerbatimChar"/>
        </w:rPr>
        <w:t xml:space="preserve">{environment}</w:t>
      </w:r>
      <w:r>
        <w:t xml:space="preserve"> </w:t>
      </w:r>
      <w:r>
        <w:t xml:space="preserve">segment:</w:t>
      </w:r>
      <w:r>
        <w:t xml:space="preserve"> </w:t>
      </w:r>
      <w:r>
        <w:rPr>
          <w:rStyle w:val="VerbatimChar"/>
        </w:rPr>
        <w:t xml:space="preserve">dbks-infra-{service}-{descriptor}</w:t>
      </w:r>
      <w:r>
        <w:t xml:space="preserve">.</w:t>
      </w:r>
    </w:p>
    <w:bookmarkEnd w:id="22"/>
    <w:bookmarkStart w:id="23" w:name="approved-service-abbreviations"/>
    <w:p>
      <w:pPr>
        <w:pStyle w:val="Heading3"/>
      </w:pPr>
      <w:r>
        <w:t xml:space="preserve">Approved Service Abbreviations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/ Databricks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IAM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IAM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VPC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Metastore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Service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aws-naming-conventions"/>
    <w:p>
      <w:pPr>
        <w:pStyle w:val="Heading2"/>
      </w:pPr>
      <w:r>
        <w:t xml:space="preserve">AWS Naming Conventions</w:t>
      </w:r>
    </w:p>
    <w:bookmarkStart w:id="25" w:name="s3-buckets"/>
    <w:p>
      <w:pPr>
        <w:pStyle w:val="Heading3"/>
      </w:pPr>
      <w:r>
        <w:t xml:space="preserve">S3 Buckets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dbks-infra-{env}-s3-{descriptor}</w:t>
      </w:r>
    </w:p>
    <w:tbl>
      <w:tblPr>
        <w:tblStyle w:val="Table"/>
        <w:tblW w:type="pct" w:w="4904"/>
        <w:tblLayout w:type="fixed"/>
        <w:tblLook w:firstRow="1" w:lastRow="0" w:firstColumn="0" w:lastColumn="0" w:noHBand="0" w:noVBand="0" w:val="0020"/>
      </w:tblPr>
      <w:tblGrid>
        <w:gridCol w:w="1827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root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dbks-infra-{env}-s3-workspace-root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dbks-infra-dev-s3-workspace-root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Metastore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dbks-infra-{env}-s3-metastore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dbks-infra-prod-s3-metastore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 remote state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dbks-infra-s3-tf-state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dbks-infra-s3-tf-state</w:t>
            </w:r>
          </w:p>
        </w:tc>
      </w:tr>
    </w:tbl>
    <w:p>
      <w:pPr>
        <w:pStyle w:val="BlockText"/>
      </w:pPr>
      <w:r>
        <w:t xml:space="preserve">S3 bucket names must be globally unique. Append the AWS account ID</w:t>
      </w:r>
      <w:r>
        <w:t xml:space="preserve"> </w:t>
      </w:r>
      <w:r>
        <w:t xml:space="preserve">suffix if needed:</w:t>
      </w:r>
      <w:r>
        <w:t xml:space="preserve"> </w:t>
      </w:r>
      <w:r>
        <w:rPr>
          <w:rStyle w:val="VerbatimChar"/>
        </w:rPr>
        <w:t xml:space="preserve">dbks-infra-dev-s3-workspace-root-123456789012</w:t>
      </w:r>
    </w:p>
    <w:bookmarkEnd w:id="25"/>
    <w:bookmarkStart w:id="26" w:name="iam-roles"/>
    <w:p>
      <w:pPr>
        <w:pStyle w:val="Heading3"/>
      </w:pPr>
      <w:r>
        <w:t xml:space="preserve">IAM Roles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dbks-infra-{env}-iam-role-{descriptor}</w:t>
      </w:r>
    </w:p>
    <w:tbl>
      <w:tblPr>
        <w:tblStyle w:val="Table"/>
        <w:tblW w:type="pct" w:w="4912"/>
        <w:tblLayout w:type="fixed"/>
        <w:tblLook w:firstRow="1" w:lastRow="0" w:firstColumn="0" w:lastColumn="0" w:noHBand="0" w:noVBand="0" w:val="0020"/>
      </w:tblPr>
      <w:tblGrid>
        <w:gridCol w:w="1667"/>
        <w:gridCol w:w="3056"/>
        <w:gridCol w:w="3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</w:t>
            </w:r>
            <w:r>
              <w:t xml:space="preserve"> </w:t>
            </w:r>
            <w:r>
              <w:t xml:space="preserve">cross-account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dbks-infra-{env}-iam-role-cross-account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dbks-infra-prod-iam-role-cross-account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Catalog storage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dbks-infra-{env}-iam-role-uc-storage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dbks-infra-dev-iam-role-uc-storage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 deploy</w:t>
            </w:r>
            <w:r>
              <w:t xml:space="preserve"> </w:t>
            </w:r>
            <w:r>
              <w:t xml:space="preserve">role (shared)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dbks-infra-iam-role-gha-deploy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dbks-infra-iam-role-gha-deploy</w:t>
            </w:r>
          </w:p>
        </w:tc>
      </w:tr>
    </w:tbl>
    <w:bookmarkEnd w:id="26"/>
    <w:bookmarkStart w:id="27" w:name="iam-policies"/>
    <w:p>
      <w:pPr>
        <w:pStyle w:val="Heading3"/>
      </w:pPr>
      <w:r>
        <w:t xml:space="preserve">IAM Policies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dbks-infra-{env}-iam-policy-{descriptor}</w:t>
      </w:r>
    </w:p>
    <w:tbl>
      <w:tblPr>
        <w:tblStyle w:val="Table"/>
        <w:tblW w:type="pct" w:w="4915"/>
        <w:tblLayout w:type="fixed"/>
        <w:tblLook w:firstRow="1" w:lastRow="0" w:firstColumn="0" w:lastColumn="0" w:noHBand="0" w:noVBand="0" w:val="0020"/>
      </w:tblPr>
      <w:tblGrid>
        <w:gridCol w:w="1610"/>
        <w:gridCol w:w="3087"/>
        <w:gridCol w:w="30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Cross-account access</w:t>
            </w:r>
            <w:r>
              <w:t xml:space="preserve"> </w:t>
            </w: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dbks-infra-{env}-iam-policy-cross-account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dbks-infra-prod-iam-policy-cross-account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workspace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dbks-infra-{env}-iam-policy-s3-workspace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dbks-infra-dev-iam-policy-s3-workspace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metastore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dbks-infra-{env}-iam-policy-s3-metastore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dbks-infra-prod-iam-policy-s3-metastore</w:t>
            </w:r>
          </w:p>
        </w:tc>
      </w:tr>
    </w:tbl>
    <w:bookmarkEnd w:id="27"/>
    <w:bookmarkStart w:id="28" w:name="vpc"/>
    <w:p>
      <w:pPr>
        <w:pStyle w:val="Heading3"/>
      </w:pPr>
      <w:r>
        <w:t xml:space="preserve">VPC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dbks-infra-{env}-vpc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501"/>
        <w:gridCol w:w="2605"/>
        <w:gridCol w:w="26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dbks-infra-{env}-vpc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dbks-infra-dev-vpc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dbks-infra-{env}-igw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dbks-infra-prod-igw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dbks-infra-{env}-nat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dbks-infra-dev-nat</w:t>
            </w:r>
          </w:p>
        </w:tc>
      </w:tr>
    </w:tbl>
    <w:bookmarkEnd w:id="28"/>
    <w:bookmarkStart w:id="29" w:name="subnets"/>
    <w:p>
      <w:pPr>
        <w:pStyle w:val="Heading3"/>
      </w:pPr>
      <w:r>
        <w:t xml:space="preserve">Subnets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dbks-infra-{env}-sn-{type}-{az}</w:t>
      </w:r>
    </w:p>
    <w:tbl>
      <w:tblPr>
        <w:tblStyle w:val="Table"/>
        <w:tblW w:type="pct" w:w="4904"/>
        <w:tblLayout w:type="fixed"/>
        <w:tblLook w:firstRow="1" w:lastRow="0" w:firstColumn="0" w:lastColumn="0" w:noHBand="0" w:noVBand="0" w:val="0020"/>
      </w:tblPr>
      <w:tblGrid>
        <w:gridCol w:w="1827"/>
        <w:gridCol w:w="2817"/>
        <w:gridCol w:w="31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subnet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dbks-infra-{env}-sn-private-{az}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dbks-infra-dev-sn-private-us-east-2a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subnet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dbks-infra-{env}-sn-public-{az}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dbks-infra-prod-sn-public-us-east-2b</w:t>
            </w:r>
          </w:p>
        </w:tc>
      </w:tr>
    </w:tbl>
    <w:bookmarkEnd w:id="29"/>
    <w:bookmarkStart w:id="30" w:name="security-groups"/>
    <w:p>
      <w:pPr>
        <w:pStyle w:val="Heading3"/>
      </w:pPr>
      <w:r>
        <w:t xml:space="preserve">Security Groups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dbks-infra-{env}-sg-{descriptor}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2022"/>
        <w:gridCol w:w="2864"/>
        <w:gridCol w:w="28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compute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dbks-infra-{env}-sg-workspace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dbks-infra-dev-sg-workspace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VPC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dbks-infra-{env}-sg-endpoints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dbks-infra-prod-sg-endpoints</w:t>
            </w:r>
          </w:p>
        </w:tc>
      </w:tr>
    </w:tbl>
    <w:bookmarkEnd w:id="30"/>
    <w:bookmarkStart w:id="31" w:name="dynamodb-tables"/>
    <w:p>
      <w:pPr>
        <w:pStyle w:val="Heading3"/>
      </w:pPr>
      <w:r>
        <w:t xml:space="preserve">DynamoDB Tables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dbks-infra-dynamo-{descriptor}</w:t>
      </w:r>
      <w:r>
        <w:t xml:space="preserve"> </w:t>
      </w:r>
      <w:r>
        <w:t xml:space="preserve">(shared — no</w:t>
      </w:r>
      <w:r>
        <w:t xml:space="preserve"> </w:t>
      </w:r>
      <w:r>
        <w:t xml:space="preserve">environment)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 state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dbks-infra-dynamo-tf-state-lock</w:t>
            </w:r>
          </w:p>
        </w:tc>
      </w:tr>
    </w:tbl>
    <w:p>
      <w:pPr>
        <w:pStyle w:val="BlockText"/>
      </w:pPr>
      <w:r>
        <w:t xml:space="preserve">One DynamoDB lock table is shared across all environments.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databricks-naming-conventions"/>
    <w:p>
      <w:pPr>
        <w:pStyle w:val="Heading2"/>
      </w:pPr>
      <w:r>
        <w:t xml:space="preserve">Databricks Naming Conventions</w:t>
      </w:r>
    </w:p>
    <w:p>
      <w:pPr>
        <w:pStyle w:val="FirstParagraph"/>
      </w:pPr>
      <w:r>
        <w:t xml:space="preserve">All Databricks data objects live within this hierarchy:</w:t>
      </w:r>
    </w:p>
    <w:p>
      <w:pPr>
        <w:pStyle w:val="SourceCode"/>
      </w:pPr>
      <w:r>
        <w:rPr>
          <w:rStyle w:val="VerbatimChar"/>
        </w:rPr>
        <w:t xml:space="preserve">Metastore  (regional, shared)</w:t>
      </w:r>
      <w:r>
        <w:br/>
      </w:r>
      <w:r>
        <w:rPr>
          <w:rStyle w:val="VerbatimChar"/>
        </w:rPr>
        <w:t xml:space="preserve">└── Workspace  (environment-scoped: dev / prod)</w:t>
      </w:r>
      <w:r>
        <w:br/>
      </w:r>
      <w:r>
        <w:rPr>
          <w:rStyle w:val="VerbatimChar"/>
        </w:rPr>
        <w:t xml:space="preserve">    └── Catalog  (project-scoped: {project_name})</w:t>
      </w:r>
      <w:r>
        <w:br/>
      </w:r>
      <w:r>
        <w:rPr>
          <w:rStyle w:val="VerbatimChar"/>
        </w:rPr>
        <w:t xml:space="preserve">        └── Schema  (data layer: bronze / raw / silver / gold / stage)</w:t>
      </w:r>
      <w:r>
        <w:br/>
      </w:r>
      <w:r>
        <w:rPr>
          <w:rStyle w:val="VerbatimChar"/>
        </w:rPr>
        <w:t xml:space="preserve">            └── Table  ({table_name})</w:t>
      </w:r>
    </w:p>
    <w:bookmarkStart w:id="35" w:name="X5b4ebdf9519f6b35f9a9e9a0da97d9dfee9dd4a"/>
    <w:p>
      <w:pPr>
        <w:pStyle w:val="Heading3"/>
      </w:pPr>
      <w:r>
        <w:t xml:space="preserve">Infrastructure Resources (Metastore &amp; Workspace)</w:t>
      </w:r>
    </w:p>
    <w:p>
      <w:pPr>
        <w:pStyle w:val="FirstParagraph"/>
      </w:pPr>
      <w:r>
        <w:t xml:space="preserve">These follow the global infra pattern since they are provisioned and</w:t>
      </w:r>
      <w:r>
        <w:t xml:space="preserve"> </w:t>
      </w:r>
      <w:r>
        <w:t xml:space="preserve">managed by the platform team.</w:t>
      </w:r>
    </w:p>
    <w:bookmarkStart w:id="33" w:name="metastore"/>
    <w:p>
      <w:pPr>
        <w:pStyle w:val="Heading4"/>
      </w:pPr>
      <w:r>
        <w:t xml:space="preserve">Metastore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dbks-infra-meta-{region}</w:t>
      </w:r>
      <w:r>
        <w:t xml:space="preserve"> </w:t>
      </w:r>
      <w:r>
        <w:t xml:space="preserve">(shared — no environment)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Metastore (us-east-2)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dbks-infra-meta-us-east-2</w:t>
            </w:r>
          </w:p>
        </w:tc>
      </w:tr>
    </w:tbl>
    <w:p>
      <w:pPr>
        <w:pStyle w:val="BlockText"/>
      </w:pPr>
      <w:r>
        <w:t xml:space="preserve">One metastore per AWS region, shared across all workspaces.</w:t>
      </w:r>
    </w:p>
    <w:bookmarkEnd w:id="33"/>
    <w:bookmarkStart w:id="34" w:name="workspaces"/>
    <w:p>
      <w:pPr>
        <w:pStyle w:val="Heading4"/>
      </w:pPr>
      <w:r>
        <w:t xml:space="preserve">Workspaces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(uppercase, single word)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data-objects-catalog-schema-table"/>
    <w:p>
      <w:pPr>
        <w:pStyle w:val="Heading3"/>
      </w:pPr>
      <w:r>
        <w:t xml:space="preserve">Data Objects (Catalog → Schema → Table)</w:t>
      </w:r>
    </w:p>
    <w:p>
      <w:pPr>
        <w:pStyle w:val="FirstParagraph"/>
      </w:pPr>
      <w:r>
        <w:t xml:space="preserve">Data objects are</w:t>
      </w:r>
      <w:r>
        <w:t xml:space="preserve"> </w:t>
      </w:r>
      <w:r>
        <w:rPr>
          <w:b/>
          <w:bCs/>
        </w:rPr>
        <w:t xml:space="preserve">project-centric</w:t>
      </w:r>
      <w:r>
        <w:t xml:space="preserve">. The environment is determined by</w:t>
      </w:r>
      <w:r>
        <w:t xml:space="preserve"> </w:t>
      </w:r>
      <w:r>
        <w:t xml:space="preserve">the workspace the catalog is bound to, not by the name itself. This</w:t>
      </w:r>
      <w:r>
        <w:t xml:space="preserve"> </w:t>
      </w:r>
      <w:r>
        <w:t xml:space="preserve">enables clean, readable three-part table references.</w:t>
      </w:r>
    </w:p>
    <w:bookmarkStart w:id="36" w:name="catalogs"/>
    <w:p>
      <w:pPr>
        <w:pStyle w:val="Heading4"/>
      </w:pPr>
      <w:r>
        <w:t xml:space="preserve">Catalogs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{project_name}</w:t>
      </w:r>
    </w:p>
    <w:p>
      <w:pPr>
        <w:pStyle w:val="BodyText"/>
      </w:pPr>
      <w:r>
        <w:t xml:space="preserve">The catalog name is the name of the data engineering or data science</w:t>
      </w:r>
      <w:r>
        <w:t xml:space="preserve"> </w:t>
      </w:r>
      <w:r>
        <w:t xml:space="preserve">project that owns the data. It must be lowercase, no hyphens or</w:t>
      </w:r>
      <w:r>
        <w:t xml:space="preserve"> </w:t>
      </w:r>
      <w:r>
        <w:t xml:space="preserve">underscores.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Another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Another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</w:t>
            </w:r>
          </w:p>
        </w:tc>
      </w:tr>
    </w:tbl>
    <w:p>
      <w:pPr>
        <w:pStyle w:val="BlockText"/>
      </w:pPr>
      <w:r>
        <w:t xml:space="preserve">One catalog per project. The catalog is bound to a workspace (dev or</w:t>
      </w:r>
      <w:r>
        <w:t xml:space="preserve"> </w:t>
      </w:r>
      <w:r>
        <w:t xml:space="preserve">prod) via</w:t>
      </w:r>
      <w:r>
        <w:t xml:space="preserve"> </w:t>
      </w:r>
      <w:r>
        <w:rPr>
          <w:rStyle w:val="VerbatimChar"/>
        </w:rPr>
        <w:t xml:space="preserve">databricks_catalog_workspace_binding</w:t>
      </w:r>
      <w:r>
        <w:t xml:space="preserve">. The same project</w:t>
      </w:r>
      <w:r>
        <w:t xml:space="preserve"> </w:t>
      </w:r>
      <w:r>
        <w:t xml:space="preserve">name exists in both workspaces — the workspace binding determines</w:t>
      </w:r>
      <w:r>
        <w:t xml:space="preserve"> </w:t>
      </w:r>
      <w:r>
        <w:t xml:space="preserve">the environment.</w:t>
      </w:r>
    </w:p>
    <w:bookmarkEnd w:id="36"/>
    <w:bookmarkStart w:id="37" w:name="schemas"/>
    <w:p>
      <w:pPr>
        <w:pStyle w:val="Heading4"/>
      </w:pPr>
      <w:r>
        <w:t xml:space="preserve">Schemas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{layer}</w:t>
      </w:r>
    </w:p>
    <w:p>
      <w:pPr>
        <w:pStyle w:val="BodyText"/>
      </w:pPr>
      <w:r>
        <w:t xml:space="preserve">Schemas represent the data layer within a catalog. Use standard</w:t>
      </w:r>
      <w:r>
        <w:t xml:space="preserve"> </w:t>
      </w:r>
      <w:r>
        <w:t xml:space="preserve">medallion architecture layer names only.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landed as-is from</w:t>
            </w:r>
            <w:r>
              <w:t xml:space="preserve"> </w:t>
            </w:r>
            <w:r>
              <w:t xml:space="preserve">source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Ingested, minimally</w:t>
            </w:r>
            <w:r>
              <w:t xml:space="preserve"> </w:t>
            </w:r>
            <w:r>
              <w:t xml:space="preserve">transformed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Cleaned, conformed,</w:t>
            </w:r>
            <w:r>
              <w:t xml:space="preserve"> </w:t>
            </w:r>
            <w:r>
              <w:t xml:space="preserve">enriched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Aggregated,</w:t>
            </w:r>
            <w:r>
              <w:t xml:space="preserve"> </w:t>
            </w:r>
            <w:r>
              <w:t xml:space="preserve">business-ready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processing</w:t>
            </w:r>
            <w:r>
              <w:t xml:space="preserve"> </w:t>
            </w:r>
            <w:r>
              <w:t xml:space="preserve">area</w:t>
            </w:r>
          </w:p>
        </w:tc>
      </w:tr>
    </w:tbl>
    <w:p>
      <w:pPr>
        <w:pStyle w:val="BlockText"/>
      </w:pPr>
      <w:r>
        <w:t xml:space="preserve">Do not prefix schemas with environment or project name. The catalog</w:t>
      </w:r>
      <w:r>
        <w:t xml:space="preserve"> </w:t>
      </w:r>
      <w:r>
        <w:t xml:space="preserve">already provides that context.</w:t>
      </w:r>
    </w:p>
    <w:bookmarkEnd w:id="37"/>
    <w:bookmarkStart w:id="38" w:name="tables"/>
    <w:p>
      <w:pPr>
        <w:pStyle w:val="Heading4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{fact|dim|stg|raw}_{descriptor}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fact_sells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stg_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stg_orders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raw_transactions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table-reference-format"/>
    <w:p>
      <w:pPr>
        <w:pStyle w:val="Heading3"/>
      </w:pPr>
      <w:r>
        <w:t xml:space="preserve">Table Reference Format</w:t>
      </w:r>
    </w:p>
    <w:bookmarkStart w:id="40" w:name="within-the-same-workspace"/>
    <w:p>
      <w:pPr>
        <w:pStyle w:val="Heading4"/>
      </w:pPr>
      <w:r>
        <w:t xml:space="preserve">Within the same workspace</w:t>
      </w:r>
    </w:p>
    <w:p>
      <w:pPr>
        <w:pStyle w:val="SourceCode"/>
      </w:pPr>
      <w:r>
        <w:rPr>
          <w:rStyle w:val="VerbatimChar"/>
        </w:rPr>
        <w:t xml:space="preserve">{catalog}.{schema}.{table}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vicmo.silver.fact_sells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fact_sells</w:t>
            </w:r>
            <w:r>
              <w:t xml:space="preserve"> </w:t>
            </w:r>
            <w:r>
              <w:t xml:space="preserve">table in the</w:t>
            </w:r>
            <w:r>
              <w:t xml:space="preserve"> </w:t>
            </w:r>
            <w:r>
              <w:rPr>
                <w:rStyle w:val="VerbatimChar"/>
              </w:rPr>
              <w:t xml:space="preserve">silver</w:t>
            </w:r>
            <w:r>
              <w:t xml:space="preserve"> </w:t>
            </w:r>
            <w:r>
              <w:t xml:space="preserve">schema of the</w:t>
            </w:r>
            <w:r>
              <w:t xml:space="preserve"> </w:t>
            </w:r>
            <w:r>
              <w:rPr>
                <w:rStyle w:val="VerbatimChar"/>
              </w:rPr>
              <w:t xml:space="preserve">vicmo</w:t>
            </w:r>
            <w:r>
              <w:t xml:space="preserve"> </w:t>
            </w:r>
            <w:r>
              <w:t xml:space="preserve">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finance.gold.dim_customer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dim_customer</w:t>
            </w:r>
            <w:r>
              <w:t xml:space="preserve"> </w:t>
            </w:r>
            <w:r>
              <w:t xml:space="preserve">in gold layer of the</w:t>
            </w:r>
            <w:r>
              <w:t xml:space="preserve"> </w:t>
            </w:r>
            <w:r>
              <w:t xml:space="preserve">finance catalog</w:t>
            </w:r>
          </w:p>
        </w:tc>
      </w:tr>
    </w:tbl>
    <w:bookmarkEnd w:id="40"/>
    <w:bookmarkStart w:id="41" w:name="cross-workspace-exceptional-case"/>
    <w:p>
      <w:pPr>
        <w:pStyle w:val="Heading4"/>
      </w:pPr>
      <w:r>
        <w:t xml:space="preserve">Cross-workspace (exceptional case)</w:t>
      </w:r>
    </w:p>
    <w:p>
      <w:pPr>
        <w:pStyle w:val="FirstParagraph"/>
      </w:pPr>
      <w:r>
        <w:t xml:space="preserve">When referencing data from a different workspace, prefix with the</w:t>
      </w:r>
      <w:r>
        <w:t xml:space="preserve"> </w:t>
      </w:r>
      <w:r>
        <w:t xml:space="preserve">workspace name:</w:t>
      </w:r>
    </w:p>
    <w:p>
      <w:pPr>
        <w:pStyle w:val="SourceCode"/>
      </w:pPr>
      <w:r>
        <w:rPr>
          <w:rStyle w:val="VerbatimChar"/>
        </w:rPr>
        <w:t xml:space="preserve">{workspace}.{catalog}.{schema}.{table}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PROD.vicmo.silver.fact_sells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fact_sells</w:t>
            </w:r>
            <w:r>
              <w:t xml:space="preserve"> </w:t>
            </w:r>
            <w:r>
              <w:t xml:space="preserve">from the PROD</w:t>
            </w:r>
            <w:r>
              <w:t xml:space="preserve"> </w:t>
            </w:r>
            <w:r>
              <w:t xml:space="preserve">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DEV.finance.bronze.raw_orders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raw_orders</w:t>
            </w:r>
            <w:r>
              <w:t xml:space="preserve"> </w:t>
            </w:r>
            <w:r>
              <w:t xml:space="preserve">from the DEV workspace</w:t>
            </w:r>
          </w:p>
        </w:tc>
      </w:tr>
    </w:tbl>
    <w:p>
      <w:pPr>
        <w:pStyle w:val="BlockText"/>
      </w:pPr>
      <w:r>
        <w:t xml:space="preserve">Cross-workspace references should be the exception, not the rule.</w:t>
      </w:r>
      <w:r>
        <w:t xml:space="preserve"> </w:t>
      </w:r>
      <w:r>
        <w:t xml:space="preserve">Always prefer querying within the same workspace.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ervice-principals"/>
    <w:p>
      <w:pPr>
        <w:pStyle w:val="Heading3"/>
      </w:pPr>
      <w:r>
        <w:t xml:space="preserve">Service Principals</w:t>
      </w:r>
    </w:p>
    <w:p>
      <w:pPr>
        <w:pStyle w:val="FirstParagraph"/>
      </w:pPr>
      <w:r>
        <w:t xml:space="preserve">Service principals are project-scoped — named after the project they</w:t>
      </w:r>
      <w:r>
        <w:t xml:space="preserve"> </w:t>
      </w:r>
      <w:r>
        <w:t xml:space="preserve">serve.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{project_name}-sp-{descriptor}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deploy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{project}-sp-deploy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vicmo-sp-deploy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 job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{project}-sp-etl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vicmo-sp-etl</w:t>
            </w:r>
          </w:p>
        </w:tc>
      </w:tr>
    </w:tbl>
    <w:bookmarkEnd w:id="43"/>
    <w:bookmarkStart w:id="44" w:name="groups"/>
    <w:p>
      <w:pPr>
        <w:pStyle w:val="Heading3"/>
      </w:pPr>
      <w:r>
        <w:t xml:space="preserve">Groups</w:t>
      </w:r>
    </w:p>
    <w:p>
      <w:pPr>
        <w:pStyle w:val="FirstParagraph"/>
      </w:pPr>
      <w:r>
        <w:t xml:space="preserve">Groups are project-scoped — named after the project and role.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{project_name}-grp-{role}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2088"/>
        <w:gridCol w:w="2959"/>
        <w:gridCol w:w="26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{project}-grp-data-engineers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vicmo-grp-data-engineers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scientists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{project}-grp-data-scientists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vicmo-grp-data-scientists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{project}-grp-analysts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vicmo-grp-analysts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admins</w:t>
            </w:r>
            <w:r>
              <w:t xml:space="preserve"> </w:t>
            </w:r>
            <w:r>
              <w:t xml:space="preserve">(infra)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dbks-infra-{env}-grp-admins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dbks-infra-prod-grp-admins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github-naming-conventions"/>
    <w:p>
      <w:pPr>
        <w:pStyle w:val="Heading2"/>
      </w:pPr>
      <w:r>
        <w:t xml:space="preserve">GitHub Naming Conventions</w:t>
      </w:r>
    </w:p>
    <w:bookmarkStart w:id="46" w:name="branches"/>
    <w:p>
      <w:pPr>
        <w:pStyle w:val="Heading3"/>
      </w:pPr>
      <w:r>
        <w:t xml:space="preserve">Branches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{type}/{jira-key}-{short-description}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2088"/>
        <w:gridCol w:w="2785"/>
        <w:gridCol w:w="2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feature/{key}-{description}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feature/IT-7-create-repo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fix/{key}-{description}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fix/IT-15-iam-role-policy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docs/{key}-{description}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docs/IT-4-naming-conventions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infra/{key}-{description}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infra/IT-8-backend-providers</w:t>
            </w:r>
          </w:p>
        </w:tc>
      </w:tr>
    </w:tbl>
    <w:p>
      <w:pPr>
        <w:pStyle w:val="BlockText"/>
      </w:pPr>
      <w:r>
        <w:t xml:space="preserve">Permanent branches: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 deploys to DEV,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deploys to PROD.</w:t>
      </w:r>
    </w:p>
    <w:bookmarkEnd w:id="46"/>
    <w:bookmarkStart w:id="47" w:name="pull-requests"/>
    <w:p>
      <w:pPr>
        <w:pStyle w:val="Heading3"/>
      </w:pPr>
      <w:r>
        <w:t xml:space="preserve">Pull Requests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[{JIRA-KEY}] {verb} {short description}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3354"/>
        <w:gridCol w:w="43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[IT-7] Add Terraform repository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[IT-15] Fix IAM cross-account trust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[IT-4] Add naming conventions document</w:t>
            </w:r>
          </w:p>
        </w:tc>
      </w:tr>
    </w:tbl>
    <w:p>
      <w:pPr>
        <w:pStyle w:val="BlockText"/>
      </w:pPr>
      <w:r>
        <w:t xml:space="preserve">Use imperative verbs: Add, Fix, Update, Remove, Configure, Refactor.</w:t>
      </w:r>
    </w:p>
    <w:bookmarkEnd w:id="47"/>
    <w:bookmarkStart w:id="48" w:name="commit-messages"/>
    <w:p>
      <w:pPr>
        <w:pStyle w:val="Heading3"/>
      </w:pPr>
      <w:r>
        <w:t xml:space="preserve">Commit Messages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{type}: {short description} (#{jira-key})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3033"/>
        <w:gridCol w:w="47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add metastore Terraform module (#IT-10)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fix: correct S3 bucket policy ARN (#IT-15)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docs: add naming conventions document (#IT-4)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infra: configure remote state backend (#IT-8)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ci: add GitHub Actions plan workflow (#IT-9)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refactor: split workspace module variables (#IT-11)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terraform-naming-conventions"/>
    <w:p>
      <w:pPr>
        <w:pStyle w:val="Heading2"/>
      </w:pPr>
      <w:r>
        <w:t xml:space="preserve">Terraform Naming Conventions</w:t>
      </w:r>
    </w:p>
    <w:bookmarkStart w:id="50" w:name="module-names"/>
    <w:p>
      <w:pPr>
        <w:pStyle w:val="Heading3"/>
      </w:pPr>
      <w:r>
        <w:t xml:space="preserve">Module Names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{resource-type}</w:t>
      </w:r>
      <w:r>
        <w:t xml:space="preserve"> </w:t>
      </w:r>
      <w:r>
        <w:t xml:space="preserve">(singular, snake_case directory name)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modules/metastore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modules/catalog</w:t>
            </w:r>
          </w:p>
        </w:tc>
      </w:tr>
    </w:tbl>
    <w:bookmarkEnd w:id="50"/>
    <w:bookmarkStart w:id="51" w:name="resource-labels-within-.tf-files"/>
    <w:p>
      <w:pPr>
        <w:pStyle w:val="Heading3"/>
      </w:pPr>
      <w:r>
        <w:t xml:space="preserve">Resource Labels (within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files)</w:t>
      </w:r>
    </w:p>
    <w:p>
      <w:pPr>
        <w:pStyle w:val="FirstParagraph"/>
      </w:pPr>
      <w:r>
        <w:t xml:space="preserve">Resource labels in HCL must be snake_case and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embed the</w:t>
      </w:r>
      <w:r>
        <w:t xml:space="preserve"> </w:t>
      </w:r>
      <w:r>
        <w:t xml:space="preserve">environment — that comes from variables.</w:t>
      </w:r>
    </w:p>
    <w:p>
      <w:pPr>
        <w:pStyle w:val="SourceCode"/>
      </w:pPr>
      <w:r>
        <w:rPr>
          <w:rStyle w:val="VerbatimChar"/>
        </w:rPr>
        <w:t xml:space="preserve"># Good</w:t>
      </w:r>
      <w:r>
        <w:br/>
      </w:r>
      <w:r>
        <w:rPr>
          <w:rStyle w:val="VerbatimChar"/>
        </w:rPr>
        <w:t xml:space="preserve">resource "aws_s3_bucket"              "workspace_root" { ... }</w:t>
      </w:r>
      <w:r>
        <w:br/>
      </w:r>
      <w:r>
        <w:rPr>
          <w:rStyle w:val="VerbatimChar"/>
        </w:rPr>
        <w:t xml:space="preserve">resource "aws_iam_role"               "cross_account"  { ... }</w:t>
      </w:r>
      <w:r>
        <w:br/>
      </w:r>
      <w:r>
        <w:rPr>
          <w:rStyle w:val="VerbatimChar"/>
        </w:rPr>
        <w:t xml:space="preserve">resource "databricks_mws_workspaces"  "this"           { ... }</w:t>
      </w:r>
      <w:r>
        <w:br/>
      </w:r>
      <w:r>
        <w:rPr>
          <w:rStyle w:val="VerbatimChar"/>
        </w:rPr>
        <w:t xml:space="preserve">resource "databricks_catalog"         "this"           { ... }</w:t>
      </w:r>
      <w:r>
        <w:br/>
      </w:r>
      <w:r>
        <w:br/>
      </w:r>
      <w:r>
        <w:rPr>
          <w:rStyle w:val="VerbatimChar"/>
        </w:rPr>
        <w:t xml:space="preserve"># Bad — do not embed env or project in the resource label</w:t>
      </w:r>
      <w:r>
        <w:br/>
      </w:r>
      <w:r>
        <w:rPr>
          <w:rStyle w:val="VerbatimChar"/>
        </w:rPr>
        <w:t xml:space="preserve">resource "aws_s3_bucket"     "dev_workspace_root" { ... }</w:t>
      </w:r>
      <w:r>
        <w:br/>
      </w:r>
      <w:r>
        <w:rPr>
          <w:rStyle w:val="VerbatimChar"/>
        </w:rPr>
        <w:t xml:space="preserve">resource "databricks_catalog" "vicmo_dev_cat"     { ... }</w:t>
      </w:r>
    </w:p>
    <w:p>
      <w:pPr>
        <w:pStyle w:val="FirstParagraph"/>
      </w:pPr>
      <w:r>
        <w:t xml:space="preserve">The actual resource name passed to AWS/Databricks follows the global</w:t>
      </w:r>
      <w:r>
        <w:t xml:space="preserve"> </w:t>
      </w:r>
      <w:r>
        <w:t xml:space="preserve">pattern via locals: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name_prefix = "dbks-infra-${var.environment}"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"aws_s3_bucket" "workspace_root" {</w:t>
      </w:r>
      <w:r>
        <w:br/>
      </w:r>
      <w:r>
        <w:rPr>
          <w:rStyle w:val="VerbatimChar"/>
        </w:rPr>
        <w:t xml:space="preserve">  bucket = "${local.name_prefix}-s3-workspace-root"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"databricks_catalog" "this" {</w:t>
      </w:r>
      <w:r>
        <w:br/>
      </w:r>
      <w:r>
        <w:rPr>
          <w:rStyle w:val="VerbatimChar"/>
        </w:rPr>
        <w:t xml:space="preserve">  name = var.project_name  # e.g. "vicmo"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variable-names"/>
    <w:p>
      <w:pPr>
        <w:pStyle w:val="Heading3"/>
      </w:pPr>
      <w:r>
        <w:t xml:space="preserve">Variable Names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{descriptor}</w:t>
      </w:r>
      <w:r>
        <w:t xml:space="preserve"> </w:t>
      </w:r>
      <w:r>
        <w:t xml:space="preserve">(snake_case)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709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region,</w:t>
            </w:r>
            <w:r>
              <w:t xml:space="preserve"> </w:t>
            </w:r>
            <w:r>
              <w:t xml:space="preserve">e.g. </w:t>
            </w:r>
            <w:r>
              <w:rPr>
                <w:rStyle w:val="VerbatimChar"/>
              </w:rPr>
              <w:t xml:space="preserve">us-east-2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databricks_account_id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account GUID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</w:t>
            </w:r>
            <w:r>
              <w:t xml:space="preserve"> </w:t>
            </w:r>
            <w:r>
              <w:t xml:space="preserve">workspace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vpc_cidr_block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 CIDR,</w:t>
            </w:r>
            <w:r>
              <w:t xml:space="preserve"> </w:t>
            </w:r>
            <w:r>
              <w:t xml:space="preserve">e.g. </w:t>
            </w:r>
            <w:r>
              <w:rPr>
                <w:rStyle w:val="VerbatimChar"/>
              </w:rPr>
              <w:t xml:space="preserve">10.0.0.0/16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workspace_root_bucket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bucket name for</w:t>
            </w:r>
            <w:r>
              <w:t xml:space="preserve"> </w:t>
            </w:r>
            <w:r>
              <w:t xml:space="preserve">workspace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project name for</w:t>
            </w:r>
            <w:r>
              <w:t xml:space="preserve"> </w:t>
            </w:r>
            <w:r>
              <w:t xml:space="preserve">catalog, e.g. </w:t>
            </w:r>
            <w:r>
              <w:rPr>
                <w:rStyle w:val="VerbatimChar"/>
              </w:rPr>
              <w:t xml:space="preserve">vicmo</w:t>
            </w:r>
          </w:p>
        </w:tc>
      </w:tr>
    </w:tbl>
    <w:bookmarkEnd w:id="52"/>
    <w:bookmarkStart w:id="53" w:name="output-names"/>
    <w:p>
      <w:pPr>
        <w:pStyle w:val="Heading3"/>
      </w:pPr>
      <w:r>
        <w:t xml:space="preserve">Output Names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{service}_{descriptor}</w:t>
      </w:r>
      <w:r>
        <w:t xml:space="preserve"> </w:t>
      </w:r>
      <w:r>
        <w:t xml:space="preserve">(snake_case)</w:t>
      </w:r>
    </w:p>
    <w:tbl>
      <w:tblPr>
        <w:tblStyle w:val="Table"/>
        <w:tblW w:type="pct" w:w="4911"/>
        <w:tblLayout w:type="fixed"/>
        <w:tblLook w:firstRow="1" w:lastRow="0" w:firstColumn="0" w:lastColumn="0" w:noHBand="0" w:noVBand="0" w:val="0020"/>
      </w:tblPr>
      <w:tblGrid>
        <w:gridCol w:w="2545"/>
        <w:gridCol w:w="52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https://DEV.cloud.databricks.com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123456789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metastore_id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abc-123-def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cross_account_role_arn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arn:aws:iam::123456789012:role/dbks-infra-prod-iam-role-cross-account</w:t>
            </w:r>
          </w:p>
        </w:tc>
      </w:tr>
    </w:tbl>
    <w:bookmarkEnd w:id="53"/>
    <w:bookmarkStart w:id="54" w:name="local-values"/>
    <w:p>
      <w:pPr>
        <w:pStyle w:val="Heading3"/>
      </w:pPr>
      <w:r>
        <w:t xml:space="preserve">Local Values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name_prefix  = "dbks-infra-${var.environment}"</w:t>
      </w:r>
      <w:r>
        <w:br/>
      </w:r>
      <w:r>
        <w:rPr>
          <w:rStyle w:val="VerbatimChar"/>
        </w:rPr>
        <w:t xml:space="preserve">  common_tags  = {</w:t>
      </w:r>
      <w:r>
        <w:br/>
      </w:r>
      <w:r>
        <w:rPr>
          <w:rStyle w:val="VerbatimChar"/>
        </w:rPr>
        <w:t xml:space="preserve">    Project     = "dbks-infra"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  ManagedBy   = "terraform"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nvironment-reference"/>
    <w:p>
      <w:pPr>
        <w:pStyle w:val="Heading2"/>
      </w:pPr>
      <w:r>
        <w:t xml:space="preserve">Environment Reference</w:t>
      </w:r>
    </w:p>
    <w:tbl>
      <w:tblPr>
        <w:tblStyle w:val="Table"/>
        <w:tblW w:type="pct" w:w="491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284"/>
        <w:gridCol w:w="39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State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s3://dbks-infra-s3-tf-state/dev/terraform.tfstate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s3://dbks-infra-s3-tf-state/prod/terraform.tfstate</w:t>
            </w:r>
          </w:p>
        </w:tc>
      </w:tr>
    </w:tbl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2026-04-20T20:54:12Z</dcterms:created>
  <dcterms:modified xsi:type="dcterms:W3CDTF">2026-04-20T20:54:12Z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