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Language Bridge - Main Objective Test Cases</w:t>
      </w:r>
    </w:p>
    <w:p>
      <w:r>
        <w:rPr>
          <w:b/>
        </w:rPr>
        <w:t xml:space="preserve">Main objective: </w:t>
      </w:r>
      <w:r>
        <w:t>Help users understand and learn the available Philippine languages through translation, camera text scanning, supported speech playback, and vocabulary lessons with assessments.</w:t>
      </w:r>
    </w:p>
    <w:p>
      <w:r>
        <w:rPr>
          <w:b/>
        </w:rPr>
        <w:t xml:space="preserve">Languages: </w:t>
      </w:r>
      <w:r>
        <w:t>Filipino / Tagalog, Kapampangan, Cebuano, Ilocano, Hiligaynon, Bikol, and Pangasinan. English is also available in the translator.</w:t>
      </w:r>
    </w:p>
    <w:p>
      <w:r>
        <w:t>Setup: signed-in test account; record app build, device/OS, and speech engine. Enable the services needed by each case. Actual Result, Status, and Executed must be updated only after manual testing.</w:t>
      </w:r>
    </w:p>
    <w:p>
      <w:pPr>
        <w:spacing w:after="160"/>
      </w:pPr>
      <w:r>
        <w:t>Tester: ____________________    Device / OS: ____________________    App build: ____________________</w:t>
      </w:r>
    </w:p>
    <w:tbl>
      <w:tblPr>
        <w:tblW w:type="dxa" w:w="15398"/>
        <w:tblLayout w:type="fixed"/>
        <w:tblLook w:firstColumn="1" w:firstRow="1" w:lastColumn="0" w:lastRow="0" w:noHBand="0" w:noVBand="1" w:val="04A0"/>
        <w:tblInd w:w="90" w:type="dxa"/>
        <w:tblCellMar>
          <w:top w:w="70" w:type="dxa"/>
          <w:bottom w:w="70" w:type="dxa"/>
          <w:start w:w="90" w:type="dxa"/>
          <w:end w:w="9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700"/>
        <w:gridCol w:w="2000"/>
        <w:gridCol w:w="3400"/>
        <w:gridCol w:w="3200"/>
        <w:gridCol w:w="2700"/>
        <w:gridCol w:w="1000"/>
        <w:gridCol w:w="900"/>
        <w:gridCol w:w="1498"/>
      </w:tblGrid>
      <w:tr>
        <w:trPr>
          <w:cantSplit/>
          <w:tblHeader/>
        </w:trPr>
        <w:tc>
          <w:tcPr>
            <w:tcW w:type="dxa" w:w="700"/>
            <w:vAlign w:val="top"/>
            <w:shd w:fill="1F4E78"/>
          </w:tcPr>
          <w:p>
            <w:pPr>
              <w:pStyle w:val="TableHead"/>
              <w:jc w:val="center"/>
            </w:pPr>
            <w:r>
              <w:t>Test Case ID</w:t>
            </w:r>
          </w:p>
        </w:tc>
        <w:tc>
          <w:tcPr>
            <w:tcW w:type="dxa" w:w="2000"/>
            <w:vAlign w:val="top"/>
            <w:shd w:fill="1F4E78"/>
          </w:tcPr>
          <w:p>
            <w:pPr>
              <w:pStyle w:val="TableHead"/>
              <w:jc w:val="center"/>
            </w:pPr>
            <w:r>
              <w:t>Scenario</w:t>
            </w:r>
          </w:p>
        </w:tc>
        <w:tc>
          <w:tcPr>
            <w:tcW w:type="dxa" w:w="3400"/>
            <w:vAlign w:val="top"/>
            <w:shd w:fill="1F4E78"/>
          </w:tcPr>
          <w:p>
            <w:pPr>
              <w:pStyle w:val="TableHead"/>
              <w:jc w:val="center"/>
            </w:pPr>
            <w:r>
              <w:t>Test Steps</w:t>
            </w:r>
          </w:p>
        </w:tc>
        <w:tc>
          <w:tcPr>
            <w:tcW w:type="dxa" w:w="3200"/>
            <w:vAlign w:val="top"/>
            <w:shd w:fill="1F4E78"/>
          </w:tcPr>
          <w:p>
            <w:pPr>
              <w:pStyle w:val="TableHead"/>
              <w:jc w:val="center"/>
            </w:pPr>
            <w:r>
              <w:t>Expected Result</w:t>
            </w:r>
          </w:p>
        </w:tc>
        <w:tc>
          <w:tcPr>
            <w:tcW w:type="dxa" w:w="2700"/>
            <w:vAlign w:val="top"/>
            <w:shd w:fill="1F4E78"/>
          </w:tcPr>
          <w:p>
            <w:pPr>
              <w:pStyle w:val="TableHead"/>
              <w:jc w:val="center"/>
            </w:pPr>
            <w:r>
              <w:t>Actual Result</w:t>
            </w:r>
          </w:p>
        </w:tc>
        <w:tc>
          <w:tcPr>
            <w:tcW w:type="dxa" w:w="1000"/>
            <w:vAlign w:val="top"/>
            <w:shd w:fill="1F4E78"/>
          </w:tcPr>
          <w:p>
            <w:pPr>
              <w:pStyle w:val="TableHead"/>
              <w:jc w:val="center"/>
            </w:pPr>
            <w:r>
              <w:t>Status</w:t>
            </w:r>
          </w:p>
        </w:tc>
        <w:tc>
          <w:tcPr>
            <w:tcW w:type="dxa" w:w="900"/>
            <w:vAlign w:val="top"/>
            <w:shd w:fill="1F4E78"/>
          </w:tcPr>
          <w:p>
            <w:pPr>
              <w:pStyle w:val="TableHead"/>
              <w:jc w:val="center"/>
            </w:pPr>
            <w:r>
              <w:t>Priority</w:t>
            </w:r>
          </w:p>
        </w:tc>
        <w:tc>
          <w:tcPr>
            <w:tcW w:type="dxa" w:w="1498"/>
            <w:vAlign w:val="top"/>
            <w:shd w:fill="1F4E78"/>
          </w:tcPr>
          <w:p>
            <w:pPr>
              <w:pStyle w:val="TableHead"/>
              <w:jc w:val="center"/>
            </w:pPr>
            <w:r>
              <w:t>Executed</w:t>
            </w:r>
          </w:p>
        </w:tc>
      </w:tr>
      <w:tr>
        <w:trPr>
          <w:cantSplit/>
        </w:trPr>
        <w:tc>
          <w:tcPr>
            <w:tcW w:type="dxa" w:w="700"/>
            <w:vAlign w:val="top"/>
          </w:tcPr>
          <w:p>
            <w:pPr>
              <w:pStyle w:val="TableText"/>
              <w:jc w:val="center"/>
            </w:pPr>
            <w:r>
              <w:t>TC001</w:t>
            </w:r>
          </w:p>
        </w:tc>
        <w:tc>
          <w:tcPr>
            <w:tcW w:type="dxa" w:w="2000"/>
            <w:vAlign w:val="top"/>
          </w:tcPr>
          <w:p>
            <w:pPr>
              <w:pStyle w:val="TableText"/>
            </w:pPr>
            <w:r>
              <w:t>Translate text between the available Philippine languages</w:t>
            </w:r>
          </w:p>
        </w:tc>
        <w:tc>
          <w:tcPr>
            <w:tcW w:type="dxa" w:w="3400"/>
            <w:vAlign w:val="top"/>
          </w:tcPr>
          <w:p>
            <w:pPr>
              <w:pStyle w:val="TableText"/>
              <w:numPr>
                <w:ilvl w:val="0"/>
                <w:numId w:val="101"/>
              </w:numPr>
            </w:pPr>
            <w:r/>
            <w:r>
              <w:t>Open Translate with an active connection and configured translation service.</w:t>
            </w:r>
          </w:p>
          <w:p>
            <w:pPr>
              <w:pStyle w:val="TableText"/>
              <w:numPr>
                <w:ilvl w:val="0"/>
                <w:numId w:val="101"/>
              </w:numPr>
            </w:pPr>
            <w:r>
              <w:t>Select Filipino as source and a regional language as target. Enter a reviewer-approved word or phrase and tap Translate.</w:t>
            </w:r>
          </w:p>
          <w:p>
            <w:pPr>
              <w:pStyle w:val="TableText"/>
              <w:numPr>
                <w:ilvl w:val="0"/>
                <w:numId w:val="101"/>
              </w:numPr>
            </w:pPr>
            <w:r>
              <w:t>Repeat for all six regional languages and for the reverse directions.</w:t>
            </w:r>
          </w:p>
          <w:p>
            <w:pPr>
              <w:pStyle w:val="TableText"/>
              <w:numPr>
                <w:ilvl w:val="0"/>
                <w:numId w:val="101"/>
              </w:numPr>
            </w:pPr>
            <w:r>
              <w:t>Test Cebuano to Kapampangan and the reverse. Compare all 14 outputs with approved reference meanings.</w:t>
            </w:r>
          </w:p>
        </w:tc>
        <w:tc>
          <w:tcPr>
            <w:tcW w:type="dxa" w:w="3200"/>
            <w:vAlign w:val="top"/>
          </w:tcPr>
          <w:p>
            <w:pPr>
              <w:pStyle w:val="TableText"/>
            </w:pPr>
            <w:r>
              <w:t>Readable text appears in the selected target language and preserves the approved meaning in every tested direction. Record a result for each pair; equivalent wording is acceptable.</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High</w:t>
            </w:r>
          </w:p>
        </w:tc>
        <w:tc>
          <w:tcPr>
            <w:tcW w:type="dxa" w:w="1498"/>
            <w:vAlign w:val="top"/>
          </w:tcPr>
          <w:p>
            <w:pPr>
              <w:pStyle w:val="TableText"/>
              <w:jc w:val="center"/>
            </w:pPr>
            <w:r>
              <w:t>-</w:t>
            </w:r>
          </w:p>
        </w:tc>
      </w:tr>
      <w:tr>
        <w:trPr>
          <w:cantSplit/>
        </w:trPr>
        <w:tc>
          <w:tcPr>
            <w:tcW w:type="dxa" w:w="700"/>
            <w:vAlign w:val="top"/>
          </w:tcPr>
          <w:p>
            <w:pPr>
              <w:pStyle w:val="TableText"/>
              <w:jc w:val="center"/>
            </w:pPr>
            <w:r>
              <w:t>TC002</w:t>
            </w:r>
          </w:p>
        </w:tc>
        <w:tc>
          <w:tcPr>
            <w:tcW w:type="dxa" w:w="2000"/>
            <w:vAlign w:val="top"/>
          </w:tcPr>
          <w:p>
            <w:pPr>
              <w:pStyle w:val="TableText"/>
            </w:pPr>
            <w:r>
              <w:t>Handle an unavailable translation service</w:t>
            </w:r>
          </w:p>
        </w:tc>
        <w:tc>
          <w:tcPr>
            <w:tcW w:type="dxa" w:w="3400"/>
            <w:vAlign w:val="top"/>
          </w:tcPr>
          <w:p>
            <w:pPr>
              <w:pStyle w:val="TableText"/>
              <w:numPr>
                <w:ilvl w:val="0"/>
                <w:numId w:val="102"/>
              </w:numPr>
            </w:pPr>
            <w:r/>
            <w:r>
              <w:t>Open Translate, choose Filipino to Cebuano, and enter "tubig".</w:t>
            </w:r>
          </w:p>
          <w:p>
            <w:pPr>
              <w:pStyle w:val="TableText"/>
              <w:numPr>
                <w:ilvl w:val="0"/>
                <w:numId w:val="102"/>
              </w:numPr>
            </w:pPr>
            <w:r>
              <w:t>Disconnect from the internet and tap Translate.</w:t>
            </w:r>
          </w:p>
          <w:p>
            <w:pPr>
              <w:pStyle w:val="TableText"/>
              <w:numPr>
                <w:ilvl w:val="0"/>
                <w:numId w:val="102"/>
              </w:numPr>
            </w:pPr>
            <w:r>
              <w:t>Observe the error, restore connectivity, and retry.</w:t>
            </w:r>
          </w:p>
        </w:tc>
        <w:tc>
          <w:tcPr>
            <w:tcW w:type="dxa" w:w="3200"/>
            <w:vAlign w:val="top"/>
          </w:tcPr>
          <w:p>
            <w:pPr>
              <w:pStyle w:val="TableText"/>
            </w:pPr>
            <w:r>
              <w:t>The app shows a clear connection or service error, keeps the input, and ends the loading state. No new successful translation is shown for the failed request. Retrying after recovery returns a translation.</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High</w:t>
            </w:r>
          </w:p>
        </w:tc>
        <w:tc>
          <w:tcPr>
            <w:tcW w:type="dxa" w:w="1498"/>
            <w:vAlign w:val="top"/>
          </w:tcPr>
          <w:p>
            <w:pPr>
              <w:pStyle w:val="TableText"/>
              <w:jc w:val="center"/>
            </w:pPr>
            <w:r>
              <w:t>-</w:t>
            </w:r>
          </w:p>
        </w:tc>
      </w:tr>
      <w:tr>
        <w:trPr>
          <w:cantSplit/>
        </w:trPr>
        <w:tc>
          <w:tcPr>
            <w:tcW w:type="dxa" w:w="700"/>
            <w:vAlign w:val="top"/>
          </w:tcPr>
          <w:p>
            <w:pPr>
              <w:pStyle w:val="TableText"/>
              <w:jc w:val="center"/>
            </w:pPr>
            <w:r>
              <w:t>TC003</w:t>
            </w:r>
          </w:p>
        </w:tc>
        <w:tc>
          <w:tcPr>
            <w:tcW w:type="dxa" w:w="2000"/>
            <w:vAlign w:val="top"/>
          </w:tcPr>
          <w:p>
            <w:pPr>
              <w:pStyle w:val="TableText"/>
            </w:pPr>
            <w:r>
              <w:t>Scan and translate text from the camera</w:t>
            </w:r>
          </w:p>
        </w:tc>
        <w:tc>
          <w:tcPr>
            <w:tcW w:type="dxa" w:w="3400"/>
            <w:vAlign w:val="top"/>
          </w:tcPr>
          <w:p>
            <w:pPr>
              <w:pStyle w:val="TableText"/>
              <w:numPr>
                <w:ilvl w:val="0"/>
                <w:numId w:val="103"/>
              </w:numPr>
            </w:pPr>
            <w:r/>
            <w:r>
              <w:t>Prepare a clear printed Latin-alphabet sample and approved meaning for each of the seven languages.</w:t>
            </w:r>
          </w:p>
          <w:p>
            <w:pPr>
              <w:pStyle w:val="TableText"/>
              <w:numPr>
                <w:ilvl w:val="0"/>
                <w:numId w:val="103"/>
              </w:numPr>
            </w:pPr>
            <w:r>
              <w:t>Allow camera access, choose the sample's source language and English as target, and take a photo.</w:t>
            </w:r>
          </w:p>
          <w:p>
            <w:pPr>
              <w:pStyle w:val="TableText"/>
              <w:numPr>
                <w:ilvl w:val="0"/>
                <w:numId w:val="103"/>
              </w:numPr>
            </w:pPr>
            <w:r>
              <w:t>Compare the extracted text with the sample. Record OCR errors before correcting the input.</w:t>
            </w:r>
          </w:p>
          <w:p>
            <w:pPr>
              <w:pStyle w:val="TableText"/>
              <w:numPr>
                <w:ilvl w:val="0"/>
                <w:numId w:val="103"/>
              </w:numPr>
            </w:pPr>
            <w:r>
              <w:t>Tap Translate and check the meaning. Repeat for all seven samples.</w:t>
            </w:r>
          </w:p>
        </w:tc>
        <w:tc>
          <w:tcPr>
            <w:tcW w:type="dxa" w:w="3200"/>
            <w:vAlign w:val="top"/>
          </w:tcPr>
          <w:p>
            <w:pPr>
              <w:pStyle w:val="TableText"/>
            </w:pPr>
            <w:r>
              <w:t>The scanned text appears in the editable input. After tapping Translate, the output matches the approved meaning. Record OCR accuracy separately from translation accuracy; corrections must not conceal recognition errors.</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High</w:t>
            </w:r>
          </w:p>
        </w:tc>
        <w:tc>
          <w:tcPr>
            <w:tcW w:type="dxa" w:w="1498"/>
            <w:vAlign w:val="top"/>
          </w:tcPr>
          <w:p>
            <w:pPr>
              <w:pStyle w:val="TableText"/>
              <w:jc w:val="center"/>
            </w:pPr>
            <w:r>
              <w:t>-</w:t>
            </w:r>
          </w:p>
        </w:tc>
      </w:tr>
      <w:tr>
        <w:trPr>
          <w:cantSplit/>
        </w:trPr>
        <w:tc>
          <w:tcPr>
            <w:tcW w:type="dxa" w:w="700"/>
            <w:vAlign w:val="top"/>
          </w:tcPr>
          <w:p>
            <w:pPr>
              <w:pStyle w:val="TableText"/>
              <w:jc w:val="center"/>
            </w:pPr>
            <w:r>
              <w:t>TC004</w:t>
            </w:r>
          </w:p>
        </w:tc>
        <w:tc>
          <w:tcPr>
            <w:tcW w:type="dxa" w:w="2000"/>
            <w:vAlign w:val="top"/>
          </w:tcPr>
          <w:p>
            <w:pPr>
              <w:pStyle w:val="TableText"/>
            </w:pPr>
            <w:r>
              <w:t>Read a translation aloud using a supported voice</w:t>
            </w:r>
          </w:p>
        </w:tc>
        <w:tc>
          <w:tcPr>
            <w:tcW w:type="dxa" w:w="3400"/>
            <w:vAlign w:val="top"/>
          </w:tcPr>
          <w:p>
            <w:pPr>
              <w:pStyle w:val="TableText"/>
              <w:numPr>
                <w:ilvl w:val="0"/>
                <w:numId w:val="104"/>
              </w:numPr>
            </w:pPr>
            <w:r/>
            <w:r>
              <w:t>Use a device with an available Filipino or English voice, or a configured cloud voice that supports the selected language.</w:t>
            </w:r>
          </w:p>
          <w:p>
            <w:pPr>
              <w:pStyle w:val="TableText"/>
              <w:numPr>
                <w:ilvl w:val="0"/>
                <w:numId w:val="104"/>
              </w:numPr>
            </w:pPr>
            <w:r>
              <w:t>Generate a Filipino translation and tap the speaker button.</w:t>
            </w:r>
          </w:p>
          <w:p>
            <w:pPr>
              <w:pStyle w:val="TableText"/>
              <w:numPr>
                <w:ilvl w:val="0"/>
                <w:numId w:val="104"/>
              </w:numPr>
            </w:pPr>
            <w:r>
              <w:t>Compare the speech with the displayed text; repeat with English output.</w:t>
            </w:r>
          </w:p>
        </w:tc>
        <w:tc>
          <w:tcPr>
            <w:tcW w:type="dxa" w:w="3200"/>
            <w:vAlign w:val="top"/>
          </w:tcPr>
          <w:p>
            <w:pPr>
              <w:pStyle w:val="TableText"/>
            </w:pPr>
            <w:r>
              <w:t>The displayed translation is spoken intelligibly in the selected language without a playback error. If the required voice is unavailable, record Blocked and execute TC005.</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High</w:t>
            </w:r>
          </w:p>
        </w:tc>
        <w:tc>
          <w:tcPr>
            <w:tcW w:type="dxa" w:w="1498"/>
            <w:vAlign w:val="top"/>
          </w:tcPr>
          <w:p>
            <w:pPr>
              <w:pStyle w:val="TableText"/>
              <w:jc w:val="center"/>
            </w:pPr>
            <w:r>
              <w:t>-</w:t>
            </w:r>
          </w:p>
        </w:tc>
      </w:tr>
      <w:tr>
        <w:trPr>
          <w:cantSplit/>
        </w:trPr>
        <w:tc>
          <w:tcPr>
            <w:tcW w:type="dxa" w:w="700"/>
            <w:vAlign w:val="top"/>
          </w:tcPr>
          <w:p>
            <w:pPr>
              <w:pStyle w:val="TableText"/>
              <w:jc w:val="center"/>
            </w:pPr>
            <w:r>
              <w:t>TC005</w:t>
            </w:r>
          </w:p>
        </w:tc>
        <w:tc>
          <w:tcPr>
            <w:tcW w:type="dxa" w:w="2000"/>
            <w:vAlign w:val="top"/>
          </w:tcPr>
          <w:p>
            <w:pPr>
              <w:pStyle w:val="TableText"/>
            </w:pPr>
            <w:r>
              <w:t>Handle a regional language with no available voice</w:t>
            </w:r>
          </w:p>
        </w:tc>
        <w:tc>
          <w:tcPr>
            <w:tcW w:type="dxa" w:w="3400"/>
            <w:vAlign w:val="top"/>
          </w:tcPr>
          <w:p>
            <w:pPr>
              <w:pStyle w:val="TableText"/>
              <w:numPr>
                <w:ilvl w:val="0"/>
                <w:numId w:val="105"/>
              </w:numPr>
            </w:pPr>
            <w:r/>
            <w:r>
              <w:t>Use a device without a Kapampangan voice and a test build without the cloud TTS key.</w:t>
            </w:r>
          </w:p>
          <w:p>
            <w:pPr>
              <w:pStyle w:val="TableText"/>
              <w:numPr>
                <w:ilvl w:val="0"/>
                <w:numId w:val="105"/>
              </w:numPr>
            </w:pPr>
            <w:r>
              <w:t>Translate Filipino "tubig" to Kapampangan.</w:t>
            </w:r>
          </w:p>
          <w:p>
            <w:pPr>
              <w:pStyle w:val="TableText"/>
              <w:numPr>
                <w:ilvl w:val="0"/>
                <w:numId w:val="105"/>
              </w:numPr>
            </w:pPr>
            <w:r>
              <w:t>Tap the speaker button and check that the translation remains readable and copyable.</w:t>
            </w:r>
          </w:p>
        </w:tc>
        <w:tc>
          <w:tcPr>
            <w:tcW w:type="dxa" w:w="3200"/>
            <w:vAlign w:val="top"/>
          </w:tcPr>
          <w:p>
            <w:pPr>
              <w:pStyle w:val="TableText"/>
            </w:pPr>
            <w:r>
              <w:t>The app reports that voice is unavailable for Kapampangan and remains usable. This tests unavailable-voice handling; it does not claim TTS support for all regional languages.</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High</w:t>
            </w:r>
          </w:p>
        </w:tc>
        <w:tc>
          <w:tcPr>
            <w:tcW w:type="dxa" w:w="1498"/>
            <w:vAlign w:val="top"/>
          </w:tcPr>
          <w:p>
            <w:pPr>
              <w:pStyle w:val="TableText"/>
              <w:jc w:val="center"/>
            </w:pPr>
            <w:r>
              <w:t>-</w:t>
            </w:r>
          </w:p>
        </w:tc>
      </w:tr>
      <w:tr>
        <w:trPr>
          <w:cantSplit/>
        </w:trPr>
        <w:tc>
          <w:tcPr>
            <w:tcW w:type="dxa" w:w="700"/>
            <w:vAlign w:val="top"/>
          </w:tcPr>
          <w:p>
            <w:pPr>
              <w:pStyle w:val="TableText"/>
              <w:jc w:val="center"/>
            </w:pPr>
            <w:r>
              <w:t>TC006</w:t>
            </w:r>
          </w:p>
        </w:tc>
        <w:tc>
          <w:tcPr>
            <w:tcW w:type="dxa" w:w="2000"/>
            <w:vAlign w:val="top"/>
          </w:tcPr>
          <w:p>
            <w:pPr>
              <w:pStyle w:val="TableText"/>
            </w:pPr>
            <w:r>
              <w:t>Study vocabulary in every language module</w:t>
            </w:r>
          </w:p>
        </w:tc>
        <w:tc>
          <w:tcPr>
            <w:tcW w:type="dxa" w:w="3400"/>
            <w:vAlign w:val="top"/>
          </w:tcPr>
          <w:p>
            <w:pPr>
              <w:pStyle w:val="TableText"/>
              <w:numPr>
                <w:ilvl w:val="0"/>
                <w:numId w:val="106"/>
              </w:numPr>
            </w:pPr>
            <w:r/>
            <w:r>
              <w:t>Use the original starter dataset with no cloud overrides or deactivated modules.</w:t>
            </w:r>
          </w:p>
          <w:p>
            <w:pPr>
              <w:pStyle w:val="TableText"/>
              <w:numPr>
                <w:ilvl w:val="0"/>
                <w:numId w:val="106"/>
              </w:numPr>
            </w:pPr>
            <w:r>
              <w:t>Open Module and select each of the seven languages.</w:t>
            </w:r>
          </w:p>
          <w:p>
            <w:pPr>
              <w:pStyle w:val="TableText"/>
              <w:numPr>
                <w:ilvl w:val="0"/>
                <w:numId w:val="106"/>
              </w:numPr>
            </w:pPr>
            <w:r>
              <w:t>Check the words, English translations, Filipino meanings, and word references.</w:t>
            </w:r>
          </w:p>
          <w:p>
            <w:pPr>
              <w:pStyle w:val="TableText"/>
              <w:numPr>
                <w:ilvl w:val="0"/>
                <w:numId w:val="106"/>
              </w:numPr>
            </w:pPr>
            <w:r>
              <w:t>Check the quiz action at the end of each module.</w:t>
            </w:r>
          </w:p>
        </w:tc>
        <w:tc>
          <w:tcPr>
            <w:tcW w:type="dxa" w:w="3200"/>
            <w:vAlign w:val="top"/>
          </w:tcPr>
          <w:p>
            <w:pPr>
              <w:pStyle w:val="TableText"/>
            </w:pPr>
            <w:r>
              <w:t>Each language has 12 starter entries (84 total), with a word, translation, explanation, and reference. Central Bikol is used for the Bikol starter content. The module quiz is available.</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High</w:t>
            </w:r>
          </w:p>
        </w:tc>
        <w:tc>
          <w:tcPr>
            <w:tcW w:type="dxa" w:w="1498"/>
            <w:vAlign w:val="top"/>
          </w:tcPr>
          <w:p>
            <w:pPr>
              <w:pStyle w:val="TableText"/>
              <w:jc w:val="center"/>
            </w:pPr>
            <w:r>
              <w:t>-</w:t>
            </w:r>
          </w:p>
        </w:tc>
      </w:tr>
      <w:tr>
        <w:trPr>
          <w:cantSplit/>
        </w:trPr>
        <w:tc>
          <w:tcPr>
            <w:tcW w:type="dxa" w:w="700"/>
            <w:vAlign w:val="top"/>
          </w:tcPr>
          <w:p>
            <w:pPr>
              <w:pStyle w:val="TableText"/>
              <w:jc w:val="center"/>
            </w:pPr>
            <w:r>
              <w:t>TC007</w:t>
            </w:r>
          </w:p>
        </w:tc>
        <w:tc>
          <w:tcPr>
            <w:tcW w:type="dxa" w:w="2000"/>
            <w:vAlign w:val="top"/>
          </w:tcPr>
          <w:p>
            <w:pPr>
              <w:pStyle w:val="TableText"/>
            </w:pPr>
            <w:r>
              <w:t>Find a word or meaning in the lesson dictionary</w:t>
            </w:r>
          </w:p>
        </w:tc>
        <w:tc>
          <w:tcPr>
            <w:tcW w:type="dxa" w:w="3400"/>
            <w:vAlign w:val="top"/>
          </w:tcPr>
          <w:p>
            <w:pPr>
              <w:pStyle w:val="TableText"/>
              <w:numPr>
                <w:ilvl w:val="0"/>
                <w:numId w:val="107"/>
              </w:numPr>
            </w:pPr>
            <w:r/>
            <w:r>
              <w:t>Open the Kapampangan starter module.</w:t>
            </w:r>
          </w:p>
          <w:p>
            <w:pPr>
              <w:pStyle w:val="TableText"/>
              <w:numPr>
                <w:ilvl w:val="0"/>
                <w:numId w:val="107"/>
              </w:numPr>
            </w:pPr>
            <w:r>
              <w:t>Search separately for "danum", "Water", and "Tubig".</w:t>
            </w:r>
          </w:p>
          <w:p>
            <w:pPr>
              <w:pStyle w:val="TableText"/>
              <w:numPr>
                <w:ilvl w:val="0"/>
                <w:numId w:val="107"/>
              </w:numPr>
            </w:pPr>
            <w:r>
              <w:t>Search for "zzzztest", then clear the search field.</w:t>
            </w:r>
          </w:p>
        </w:tc>
        <w:tc>
          <w:tcPr>
            <w:tcW w:type="dxa" w:w="3200"/>
            <w:vAlign w:val="top"/>
          </w:tcPr>
          <w:p>
            <w:pPr>
              <w:pStyle w:val="TableText"/>
            </w:pPr>
            <w:r>
              <w:t>The water entry appears for each matching query. An unmatched query displays a no-results message. Clearing the search restores all 12 entries without removing lessons.</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Medium</w:t>
            </w:r>
          </w:p>
        </w:tc>
        <w:tc>
          <w:tcPr>
            <w:tcW w:type="dxa" w:w="1498"/>
            <w:vAlign w:val="top"/>
          </w:tcPr>
          <w:p>
            <w:pPr>
              <w:pStyle w:val="TableText"/>
              <w:jc w:val="center"/>
            </w:pPr>
            <w:r>
              <w:t>-</w:t>
            </w:r>
          </w:p>
        </w:tc>
      </w:tr>
      <w:tr>
        <w:trPr>
          <w:cantSplit/>
        </w:trPr>
        <w:tc>
          <w:tcPr>
            <w:tcW w:type="dxa" w:w="700"/>
            <w:vAlign w:val="top"/>
          </w:tcPr>
          <w:p>
            <w:pPr>
              <w:pStyle w:val="TableText"/>
              <w:jc w:val="center"/>
            </w:pPr>
            <w:r>
              <w:t>TC008</w:t>
            </w:r>
          </w:p>
        </w:tc>
        <w:tc>
          <w:tcPr>
            <w:tcW w:type="dxa" w:w="2000"/>
            <w:vAlign w:val="top"/>
          </w:tcPr>
          <w:p>
            <w:pPr>
              <w:pStyle w:val="TableText"/>
            </w:pPr>
            <w:r>
              <w:t>Evaluate learning through the module quiz</w:t>
            </w:r>
          </w:p>
        </w:tc>
        <w:tc>
          <w:tcPr>
            <w:tcW w:type="dxa" w:w="3400"/>
            <w:vAlign w:val="top"/>
          </w:tcPr>
          <w:p>
            <w:pPr>
              <w:pStyle w:val="TableText"/>
              <w:numPr>
                <w:ilvl w:val="0"/>
                <w:numId w:val="108"/>
              </w:numPr>
            </w:pPr>
            <w:r/>
            <w:r>
              <w:t>Use an unmodified 12-entry module and its answer key, with score saving available.</w:t>
            </w:r>
          </w:p>
          <w:p>
            <w:pPr>
              <w:pStyle w:val="TableText"/>
              <w:numPr>
                <w:ilvl w:val="0"/>
                <w:numId w:val="108"/>
              </w:numPr>
            </w:pPr>
            <w:r>
              <w:t>Start the 10-question quiz. Deliberately answer seven questions correctly and three incorrectly.</w:t>
            </w:r>
          </w:p>
          <w:p>
            <w:pPr>
              <w:pStyle w:val="TableText"/>
              <w:numPr>
                <w:ilvl w:val="0"/>
                <w:numId w:val="108"/>
              </w:numPr>
            </w:pPr>
            <w:r>
              <w:t>Finish the quiz and compare the result and answer review with the answer key.</w:t>
            </w:r>
          </w:p>
        </w:tc>
        <w:tc>
          <w:tcPr>
            <w:tcW w:type="dxa" w:w="3200"/>
            <w:vAlign w:val="top"/>
          </w:tcPr>
          <w:p>
            <w:pPr>
              <w:pStyle w:val="TableText"/>
            </w:pPr>
            <w:r>
              <w:t>The result shows 7/10 (70%). Correct and incorrect answers match the authored translations, regardless of shuffled choice positions. The completed score is saved for the current user and module.</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High</w:t>
            </w:r>
          </w:p>
        </w:tc>
        <w:tc>
          <w:tcPr>
            <w:tcW w:type="dxa" w:w="1498"/>
            <w:vAlign w:val="top"/>
          </w:tcPr>
          <w:p>
            <w:pPr>
              <w:pStyle w:val="TableText"/>
              <w:jc w:val="center"/>
            </w:pPr>
            <w:r>
              <w:t>-</w:t>
            </w:r>
          </w:p>
        </w:tc>
      </w:tr>
      <w:tr>
        <w:trPr>
          <w:cantSplit/>
        </w:trPr>
        <w:tc>
          <w:tcPr>
            <w:tcW w:type="dxa" w:w="700"/>
            <w:vAlign w:val="top"/>
          </w:tcPr>
          <w:p>
            <w:pPr>
              <w:pStyle w:val="TableText"/>
              <w:jc w:val="center"/>
            </w:pPr>
            <w:r>
              <w:t>TC009</w:t>
            </w:r>
          </w:p>
        </w:tc>
        <w:tc>
          <w:tcPr>
            <w:tcW w:type="dxa" w:w="2000"/>
            <w:vAlign w:val="top"/>
          </w:tcPr>
          <w:p>
            <w:pPr>
              <w:pStyle w:val="TableText"/>
            </w:pPr>
            <w:r>
              <w:t>Repeat a quiz with shuffled questions and choices</w:t>
            </w:r>
          </w:p>
        </w:tc>
        <w:tc>
          <w:tcPr>
            <w:tcW w:type="dxa" w:w="3400"/>
            <w:vAlign w:val="top"/>
          </w:tcPr>
          <w:p>
            <w:pPr>
              <w:pStyle w:val="TableText"/>
              <w:numPr>
                <w:ilvl w:val="0"/>
                <w:numId w:val="109"/>
              </w:numPr>
            </w:pPr>
            <w:r/>
            <w:r>
              <w:t>Complete a quiz and record its question and answer-choice order.</w:t>
            </w:r>
          </w:p>
          <w:p>
            <w:pPr>
              <w:pStyle w:val="TableText"/>
              <w:numPr>
                <w:ilvl w:val="0"/>
                <w:numId w:val="109"/>
              </w:numPr>
            </w:pPr>
            <w:r>
              <w:t>Use the result-page retake action for two more attempts and record their order.</w:t>
            </w:r>
          </w:p>
          <w:p>
            <w:pPr>
              <w:pStyle w:val="TableText"/>
              <w:numPr>
                <w:ilvl w:val="0"/>
                <w:numId w:val="109"/>
              </w:numPr>
            </w:pPr>
            <w:r>
              <w:t>Return to the module and reopen the lessons.</w:t>
            </w:r>
          </w:p>
        </w:tc>
        <w:tc>
          <w:tcPr>
            <w:tcW w:type="dxa" w:w="3200"/>
            <w:vAlign w:val="top"/>
          </w:tcPr>
          <w:p>
            <w:pPr>
              <w:pStyle w:val="TableText"/>
            </w:pPr>
            <w:r>
              <w:t>Each attempt contains 10 unique questions from the module. Consecutive retakes do not have exactly the same question order. Choices can change position while retaining one correct answer. Words may recur across attempts, and lessons remain accessible.</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High</w:t>
            </w:r>
          </w:p>
        </w:tc>
        <w:tc>
          <w:tcPr>
            <w:tcW w:type="dxa" w:w="1498"/>
            <w:vAlign w:val="top"/>
          </w:tcPr>
          <w:p>
            <w:pPr>
              <w:pStyle w:val="TableText"/>
              <w:jc w:val="center"/>
            </w:pPr>
            <w:r>
              <w:t>-</w:t>
            </w:r>
          </w:p>
        </w:tc>
      </w:tr>
      <w:tr>
        <w:trPr>
          <w:cantSplit/>
        </w:trPr>
        <w:tc>
          <w:tcPr>
            <w:tcW w:type="dxa" w:w="700"/>
            <w:vAlign w:val="top"/>
          </w:tcPr>
          <w:p>
            <w:pPr>
              <w:pStyle w:val="TableText"/>
              <w:jc w:val="center"/>
            </w:pPr>
            <w:r>
              <w:t>TC010</w:t>
            </w:r>
          </w:p>
        </w:tc>
        <w:tc>
          <w:tcPr>
            <w:tcW w:type="dxa" w:w="2000"/>
            <w:vAlign w:val="top"/>
          </w:tcPr>
          <w:p>
            <w:pPr>
              <w:pStyle w:val="TableText"/>
            </w:pPr>
            <w:r>
              <w:t>Display only the latest completed assessment score</w:t>
            </w:r>
          </w:p>
        </w:tc>
        <w:tc>
          <w:tcPr>
            <w:tcW w:type="dxa" w:w="3400"/>
            <w:vAlign w:val="top"/>
          </w:tcPr>
          <w:p>
            <w:pPr>
              <w:pStyle w:val="TableText"/>
              <w:numPr>
                <w:ilvl w:val="0"/>
                <w:numId w:val="110"/>
              </w:numPr>
            </w:pPr>
            <w:r/>
            <w:r>
              <w:t>Using the same account and module, complete one quiz with 10/10 and a second with 4/10.</w:t>
            </w:r>
          </w:p>
          <w:p>
            <w:pPr>
              <w:pStyle w:val="TableText"/>
              <w:numPr>
                <w:ilvl w:val="0"/>
                <w:numId w:val="110"/>
              </w:numPr>
            </w:pPr>
            <w:r>
              <w:t>Return to the module and check the latest score.</w:t>
            </w:r>
          </w:p>
          <w:p>
            <w:pPr>
              <w:pStyle w:val="TableText"/>
              <w:numPr>
                <w:ilvl w:val="0"/>
                <w:numId w:val="110"/>
              </w:numPr>
            </w:pPr>
            <w:r>
              <w:t>Close and reopen the app, sign in if needed, and revisit the module.</w:t>
            </w:r>
          </w:p>
          <w:p>
            <w:pPr>
              <w:pStyle w:val="TableText"/>
              <w:numPr>
                <w:ilvl w:val="0"/>
                <w:numId w:val="110"/>
              </w:numPr>
            </w:pPr>
            <w:r>
              <w:t>Start another quiz but leave before completion; check the score again.</w:t>
            </w:r>
          </w:p>
        </w:tc>
        <w:tc>
          <w:tcPr>
            <w:tcW w:type="dxa" w:w="3200"/>
            <w:vAlign w:val="top"/>
          </w:tcPr>
          <w:p>
            <w:pPr>
              <w:pStyle w:val="TableText"/>
            </w:pPr>
            <w:r>
              <w:t>The latest score changes to 4/10 (40%) and remains after reopening. The earlier 10/10 is not shown as the latest or best score. An unfinished attempt does not replace the last completed score.</w:t>
            </w:r>
          </w:p>
        </w:tc>
        <w:tc>
          <w:tcPr>
            <w:tcW w:type="dxa" w:w="2700"/>
            <w:vAlign w:val="top"/>
          </w:tcPr>
          <w:p>
            <w:pPr>
              <w:pStyle w:val="TableText"/>
            </w:pPr>
            <w:r>
              <w:t>To be recorded</w:t>
            </w:r>
          </w:p>
        </w:tc>
        <w:tc>
          <w:tcPr>
            <w:tcW w:type="dxa" w:w="1000"/>
            <w:vAlign w:val="top"/>
          </w:tcPr>
          <w:p>
            <w:pPr>
              <w:pStyle w:val="TableText"/>
              <w:jc w:val="center"/>
            </w:pPr>
            <w:r>
              <w:t>Not Run</w:t>
            </w:r>
          </w:p>
        </w:tc>
        <w:tc>
          <w:tcPr>
            <w:tcW w:type="dxa" w:w="900"/>
            <w:vAlign w:val="top"/>
          </w:tcPr>
          <w:p>
            <w:pPr>
              <w:pStyle w:val="TableText"/>
              <w:jc w:val="center"/>
            </w:pPr>
            <w:r>
              <w:t>High</w:t>
            </w:r>
          </w:p>
        </w:tc>
        <w:tc>
          <w:tcPr>
            <w:tcW w:type="dxa" w:w="1498"/>
            <w:vAlign w:val="top"/>
          </w:tcPr>
          <w:p>
            <w:pPr>
              <w:pStyle w:val="TableText"/>
              <w:jc w:val="center"/>
            </w:pPr>
            <w:r>
              <w:t>-</w:t>
            </w:r>
          </w:p>
        </w:tc>
      </w:tr>
    </w:tbl>
    <w:p>
      <w:r>
        <w:t>Status: Not Run / Passed / Failed / Blocked. Executed: actual test date (DD/MM/YYYY). Attach language-pair results, screenshots, or recordings when needed.</w:t>
      </w:r>
    </w:p>
    <w:sectPr w:rsidR="00FC693F" w:rsidRPr="0006063C" w:rsidSect="00034616">
      <w:footerReference w:type="default" r:id="rId9"/>
      <w:pgSz w:w="16838" w:h="11906" w:orient="landscape"/>
      <w:pgMar w:top="720" w:right="720" w:bottom="72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Language Bridge | Main objective test cases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lvl w:ilvl="0">
      <w:start w:val="1"/>
      <w:numFmt w:val="decimal"/>
      <w:lvlText w:val="%1."/>
      <w:lvlJc w:val="left"/>
      <w:pPr>
        <w:ind w:left="220" w:hanging="220"/>
      </w:pPr>
    </w:lvl>
  </w:abstractNum>
  <w:num w:numId="101">
    <w:abstractNumId w:val="101"/>
  </w:num>
  <w:abstractNum w:abstractNumId="102">
    <w:lvl w:ilvl="0">
      <w:start w:val="1"/>
      <w:numFmt w:val="decimal"/>
      <w:lvlText w:val="%1."/>
      <w:lvlJc w:val="left"/>
      <w:pPr>
        <w:ind w:left="220" w:hanging="220"/>
      </w:pPr>
    </w:lvl>
  </w:abstractNum>
  <w:num w:numId="102">
    <w:abstractNumId w:val="102"/>
  </w:num>
  <w:abstractNum w:abstractNumId="103">
    <w:lvl w:ilvl="0">
      <w:start w:val="1"/>
      <w:numFmt w:val="decimal"/>
      <w:lvlText w:val="%1."/>
      <w:lvlJc w:val="left"/>
      <w:pPr>
        <w:ind w:left="220" w:hanging="220"/>
      </w:pPr>
    </w:lvl>
  </w:abstractNum>
  <w:num w:numId="103">
    <w:abstractNumId w:val="103"/>
  </w:num>
  <w:abstractNum w:abstractNumId="104">
    <w:lvl w:ilvl="0">
      <w:start w:val="1"/>
      <w:numFmt w:val="decimal"/>
      <w:lvlText w:val="%1."/>
      <w:lvlJc w:val="left"/>
      <w:pPr>
        <w:ind w:left="220" w:hanging="220"/>
      </w:pPr>
    </w:lvl>
  </w:abstractNum>
  <w:num w:numId="104">
    <w:abstractNumId w:val="104"/>
  </w:num>
  <w:abstractNum w:abstractNumId="105">
    <w:lvl w:ilvl="0">
      <w:start w:val="1"/>
      <w:numFmt w:val="decimal"/>
      <w:lvlText w:val="%1."/>
      <w:lvlJc w:val="left"/>
      <w:pPr>
        <w:ind w:left="220" w:hanging="220"/>
      </w:pPr>
    </w:lvl>
  </w:abstractNum>
  <w:num w:numId="105">
    <w:abstractNumId w:val="105"/>
  </w:num>
  <w:abstractNum w:abstractNumId="106">
    <w:lvl w:ilvl="0">
      <w:start w:val="1"/>
      <w:numFmt w:val="decimal"/>
      <w:lvlText w:val="%1."/>
      <w:lvlJc w:val="left"/>
      <w:pPr>
        <w:ind w:left="220" w:hanging="220"/>
      </w:pPr>
    </w:lvl>
  </w:abstractNum>
  <w:num w:numId="106">
    <w:abstractNumId w:val="106"/>
  </w:num>
  <w:abstractNum w:abstractNumId="107">
    <w:lvl w:ilvl="0">
      <w:start w:val="1"/>
      <w:numFmt w:val="decimal"/>
      <w:lvlText w:val="%1."/>
      <w:lvlJc w:val="left"/>
      <w:pPr>
        <w:ind w:left="220" w:hanging="220"/>
      </w:pPr>
    </w:lvl>
  </w:abstractNum>
  <w:num w:numId="107">
    <w:abstractNumId w:val="107"/>
  </w:num>
  <w:abstractNum w:abstractNumId="108">
    <w:lvl w:ilvl="0">
      <w:start w:val="1"/>
      <w:numFmt w:val="decimal"/>
      <w:lvlText w:val="%1."/>
      <w:lvlJc w:val="left"/>
      <w:pPr>
        <w:ind w:left="220" w:hanging="220"/>
      </w:pPr>
    </w:lvl>
  </w:abstractNum>
  <w:num w:numId="108">
    <w:abstractNumId w:val="108"/>
  </w:num>
  <w:abstractNum w:abstractNumId="109">
    <w:lvl w:ilvl="0">
      <w:start w:val="1"/>
      <w:numFmt w:val="decimal"/>
      <w:lvlText w:val="%1."/>
      <w:lvlJc w:val="left"/>
      <w:pPr>
        <w:ind w:left="220" w:hanging="220"/>
      </w:pPr>
    </w:lvl>
  </w:abstractNum>
  <w:num w:numId="109">
    <w:abstractNumId w:val="109"/>
  </w:num>
  <w:abstractNum w:abstractNumId="110">
    <w:lvl w:ilvl="0">
      <w:start w:val="1"/>
      <w:numFmt w:val="decimal"/>
      <w:lvlText w:val="%1."/>
      <w:lvlJc w:val="left"/>
      <w:pPr>
        <w:ind w:left="220" w:hanging="220"/>
      </w:pPr>
    </w:lvl>
  </w:abstract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2" w:lineRule="auto"/>
    </w:pPr>
    <w:rPr>
      <w:rFonts w:ascii="Arial" w:hAnsi="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2" w:lineRule="auto" w:before="0"/>
    </w:pPr>
    <w:rPr>
      <w:rFonts w:ascii="Arial" w:hAnsi="Arial"/>
      <w:b w:val="0"/>
      <w:color w:val="66666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00" w:line="252" w:lineRule="auto" w:before="0"/>
      <w:contextualSpacing/>
    </w:pPr>
    <w:rPr>
      <w:rFonts w:asciiTheme="majorHAnsi" w:eastAsiaTheme="majorEastAsia" w:hAnsiTheme="majorHAnsi" w:cstheme="majorBidi" w:ascii="Arial" w:hAnsi="Arial"/>
      <w:b/>
      <w:color w:val="1F4E78"/>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40" w:line="252" w:lineRule="auto"/>
    </w:pPr>
    <w:rPr>
      <w:rFonts w:ascii="Arial" w:hAnsi="Arial"/>
      <w:b w:val="0"/>
      <w:color w:val="000000"/>
      <w:sz w:val="18"/>
    </w:rPr>
  </w:style>
  <w:style w:type="paragraph" w:customStyle="1" w:styleId="TableHead">
    <w:name w:val="TableHead"/>
    <w:pPr>
      <w:widowControl/>
      <w:spacing w:before="0" w:after="0" w:line="252" w:lineRule="auto"/>
    </w:pPr>
    <w:rPr>
      <w:rFonts w:ascii="Arial" w:hAnsi="Arial"/>
      <w:b/>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Bridge - Main Objective Test Cases (Table Format)</dc:title>
  <dc:subject>Manual functional test cases in the supplied sample format</dc:subject>
  <dc:creator>Language Bridge</dc:creator>
  <cp:keywords/>
  <dc:description>generated by python-docx</dc:description>
  <cp:lastModifiedBy/>
  <cp:revision>1</cp:revision>
  <dcterms:created xsi:type="dcterms:W3CDTF">2013-12-23T23:15:00Z</dcterms:created>
  <dcterms:modified xsi:type="dcterms:W3CDTF">2013-12-23T23:15:00Z</dcterms:modified>
  <cp:category/>
</cp:coreProperties>
</file>