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 · Updated: 2026-10-15</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Schedule 13G cover pages and 13F holdings reports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cap on rows per check for company details / CUSIPs. By default there is no limit - every trading stock is checked.</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Search by symbol or company name, filter with the Trading Market drop-down, and show all, listed or delisted stocks with the status drop-down next to it;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Update results: only what the last Check &amp; Update wrote or tried to write - changed fields (including company info updated, such as a new CEO), company info filled in (with the fields) and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 The table does not allow two rows with the same symbol and name: if an old, delisted row of the same symbol already has the correct name (ADCT), that delisted row is renamed "&lt;name&gt; (old)" first; if a non-delisted row has it, nothing is changed and the row is listed for a person to check.</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Filled when empty, and updated when Yahoo shows a different currency for the same company. Stocks on a US market (NASDAQ / NYSE / AMEX / OTC) only ever get USD.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Every trading stock, every run. Sector, industry, address, website, CEO, description and currency are filled when empty and replaced when Yahoo now shows something else (for example a new CEO, or the full postal address instead of a short form such as "CA"), only when Yahoo's quote is the same company as the stored name. Stocks with missing data go first. A full run takes several hours.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stocks without one: every trading US stock that has no CUSIP, every run. A CUSIP that is already stored is not re-checked or replaced.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in both the old text form and the structured form used since late 2024 (newest first). Only filings actually about the company count, and the number must agree across filings (a vote). Then the 13F holdings reports institutions file each quarter (last ~200 days), searched by company name - these also cover foreign companies (LCFY Q56120134) and are used when 13G has no current answer. Holdings reports also vote: a number is used only when it clearly outnumbers the others (at least 3 reports and 3 times all others together), so one filer's typo is outvoted; when it is close (for example a foreign share and its ADR), nothing is written.</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Before writing, the system checks whether another non-delisted stock already has that CUSIP. If so, that stock's own CUSIP is looked up: if it is the same number, the one found is wrong and the next source is tried; if that stock's own CUSIP is different, its wrong value is corrected and the found one is written; if it can't be confirmed, nothing is written and it is left for a person to check. A non-US listing of the same company (APC.DE for AAPL) may share the CUSIP.</w:t>
      </w:r>
    </w:p>
    <w:p>
      <w:pPr>
        <w:pStyle w:val="ListParagraph"/>
        <w:numPr>
          <w:ilvl w:val="0"/>
          <w:numId w:val="2"/>
        </w:numPr>
        <w:spacing w:after="60"/>
      </w:pPr>
      <w:r>
        <w:rPr>
          <w:rFonts w:ascii="Calibri" w:cs="Calibri" w:eastAsia="Microsoft JhengHei" w:hAnsi="Calibri"/>
        </w:rPr>
        <w:t xml:space="preserve">Every CUSIP is validated with its check digit. A value that looks like "00" + a SEDOL (what some filers print for a foreign share that has no CUSIP, e.g. 006075808) is uncertain and is skipped, not written.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