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Optional: maximum rows per check to fill company details / CUSIPs for. Defaults are 10000 / 2000.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10000 trading stocks per run. Sector, industry, address, website, CEO, description and currency are filled when empty and replaced when Yahoo now shows something else (for example a new CEO, or the full postal address instead of a short form such as "CA"), only when Yahoo's quote is the same company as the stored name.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Empty: up to 2000 trading US stocks per run. Stored: up to 1000 more are re-checked against SEC per run, in rotation, and replaced only when current SEC data (a structured 13G filed since late 2024, or recent 13F holdings) shows a different CUSIP - e.g. after a reverse split or a new holding company (SMCI 86800U104 -&gt; 86800U302).</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Before writing, the system checks whether another non-delisted stock already has that CUSIP. If so,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