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 · Updated: 2026-10-15</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Schedule 13G cover pages and 13F holdings reports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cap on rows per check for company details / CUSIPs. By default there is no limit - every trading stock is checked.</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Filled when empty, and updated when Yahoo shows a different currency for the same company. Stocks on a US market (NASDAQ / NYSE / AMEX / OTC) only ever get USD.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Every trading stock, every run. Sector, industry, address, website, CEO, description and currency are filled when empty and replaced when Yahoo now shows something else (for example a new CEO, or the full postal address instead of a short form such as "CA"), only when Yahoo's quote is the same company as the stored name. Stocks with missing data go first. A full run takes several hours.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stocks without one: every trading US stock that has no CUSIP, every run. A CUSIP that is already stored is not re-checked or replaced.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in both the old text form and the structured form used since late 2024 (newest first). The company SEC lists for the ticker must match the company name - a reused ticker can still point to its previous owner (BTA) - otherwise 13G is skipped.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 Holdings reports also vote: a number is used only when it clearly outnumbers the others (at least 3 reports and 3 times all others together), so one filer's typo is outvoted; when it is close (for example a foreign share and its ADR), nothing is written.</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Before writing, the system checks whether another non-delisted stock already has that CUSIP. If so,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A value that looks like "00" + a SEDOL (what some filers print for a foreign share that has no CUSIP, e.g. 006075808) is uncertain and is skipped, not written.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