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選用：每次偵測查詢 CUSIP 的筆數上限。預設沒有上限，所有沒有 CUSIP 的交易中股票都會查。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預覽（不寫入）：檢查還沒有 CUSIP 的股票（未下市、美國市場），列出會變更的內容，不修改資料庫。已有 CUSIP 的股票不檢查。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偵測並更新：檢查這些股票、直接寫入變更並查詢 CUSIP（會先跳出確認）。每筆 CUSIP 查詢需數秒，幾千筆要一段時間；找到 CUSIP 後，之後要檢查的股票會越來越少。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報價，然後逐筆檢查：每檔股票的名稱、市場與 CUSIP 一起處理完再換下一檔，所以中止時已處理的股票都是完整的）。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更新結果：只列上次「偵測並更新」實際寫入或嘗試寫入的股票——欄位變更、補上的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自動變更：標為下市、名稱更正、市場變更、Category 變更、補上幣別（更新結果頁稱為「已自動更新」）。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補上資料（更新結果頁）：補上 CUSIP，以綠色顯示。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錯誤：寫入失敗，以紅色顯示。更新結果頁稱為「未寫入／錯誤」，另外包含 CUSIP 已被其他股票使用（琥珀色）和查詢 CUSIP 失敗。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偵測不再處理：它只檢查未下市的股票。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不再屬於偵測（2026-10-15 起）。新增股票時會查公司資料；既有股票可用 scripts/fill-company-details.js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每次替所有受檢、仍在交易的股票查詢。已有 CUSIP 的不會重新檢查或更新。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年底起的結構化格式，由新到舊）：SEC 登記這個代號的公司必須與公司名稱相符——被重新使用的代號可能還對到前一家公司（BTA）——否則不查 13G；只採用申報對象確實是該公司的文件，並在多份申報間投票取得一致的號碼。接著查機構每季申報的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