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選用：每次偵測最多補幾筆公司資料／CUSIP，預設 10000 / 2000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10000 筆。產業、細分產業、地址、網站、CEO、簡介：空白時補上，Yahoo 有不同的新資料時（例如換了 CEO，或用完整地址取代「CA」這類簡寫）也會更新，但只在 Yahoo 報價就是資料庫這家公司時才覆寫；幣別只補空白。缺資料的股票優先，其餘輪流處理，多次執行後涵蓋整張資料表。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2000 筆。已有：每次另外輪流向 SEC 檢查最多 1000 筆，只有 SEC 的最新資料（2024 年底起的結構化 13G 申報，或近期的 13F 持股報告）顯示不同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