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Optional: maximum rows per check to fill company details / CUSIPs for. Defaults are 10000 / 2000.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 The table does not allow two rows with the same symbol and name: if an old, delisted row of the same symbol already has the correct name (ADCT), that delisted row is renamed "&lt;name&gt; (old)" first; if a non-delisted row has it, nothing is changed and the row is listed for a person to check.</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10000 trading stocks per run. Sector, industry, website, CEO and description are filled when empty and replaced when Yahoo now shows something else (for example a new CEO), only when Yahoo's quote is the same company as the stored name; address and currency are only filled when empty.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Empty: up to 2000 trading US stocks per run. Stored: up to 1000 more are re-checked against SEC per run, in rotation, and replaced only when current SEC data (a structured 13G filed since late 2024, or recent 13F holdings) shows a different CUSIP - e.g. after a reverse split or a new holding company (SMCI 86800U104 -&gt; 86800U302).</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Before writing, the system checks whether another non-delisted stock already has that CUSIP. If so,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