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10000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10000 筆。產業、細分產業、網站、CEO、簡介：空白時補上，Yahoo 有不同的新資料時（例如換了 CEO）也會更新，但只在 Yahoo 報價就是資料庫這家公司時才覆寫；地址與幣別只補空白。缺資料的股票優先，其餘輪流處理，多次執行後涵蓋整張資料表。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的最新資料（2024 年底起的結構化 13G 申報，或近期的 13F 持股報告）顯示不同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