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5000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5000 trading stocks per run. Sector, industry, website, CEO and description are filled when empty and replaced when Yahoo now shows something else (for example a new CEO), only when Yahoo's quote is the same company as the stored name; address and currency are only filled when empty.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the newest SEC 13G filing (structured form, filed since late 2024)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