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waffle_test) · Updated: 2026-10-07</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waffle_test</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the cover page of Schedule 13G filings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PGDATABASE=waffle_test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Optional: maximum rows per check to fill company details / CUSIPs for. Defaults are 1000 / 300.</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 xml:space="preserve">Search by symbol or company name, and filter with the Trading Market drop-down;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When it finishes, it shows a summary (listed / delisted / unknown counts, changes per field, rows filled) and the per-stock changes, 15 per page.</w:t>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中文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Names only 1-2 characters apart (a source's typo) are not changed, and Yahoo's fund abbreviations never replace a full name. When the sources can't confirm a name, it is only noted ("name differs"). Placeholder names such as "324823" are always corrected.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Filled only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 to 300 trading stocks with missing data per run (sector, industry, address, website, CEO, 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 to 50 trading US stocks without a CUSIP per run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 xml:space="preserve">SEC EDGAR 13G filings are checked first. Only filings actually about the company count, and the number must agree across filings (a vote).</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 xml:space="preserve">Before writing, the system checks whether another non-delisted stock already has that CUSIP. If so, it is not written and is left for a person to check.</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