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Optional: maximum rows per check to fill company details / CUSIPs for. Defaults are 10000 / 2000.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Up to 10000 trading stocks per run. Sector, industry, website, CEO and description are filled when empty and replaced when Yahoo now shows something else (for example a new CEO), only when Yahoo's quote is the same company as the stored name; address and currency are only filled when empty. Stocks with missing data go first, then the rest in rotation, so successive runs cover the whole table.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Empty: up to 2000 trading US stocks per run. Stored: up to 1000 more are re-checked against SEC per run, in rotation, and replaced only when the newest SEC 13G filing (structured form, filed since late 2024) shows a different CUSIP - e.g. after a reverse split or a new holding company (SMCI 86800U104 -&gt; 86800U302).</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SEC EDGAR 13G filings are checked first, in both the old text form and the structured form used since late 2024 (newest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