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DDS-001 - Database Design Specification</w:t>
      </w:r>
    </w:p>
    <w:p>
      <w:r>
        <w:t>Project: Institutional Investment Operating System (IIOS)</w:t>
        <w:br/>
        <w:t>Version: 1.0</w:t>
        <w:br/>
        <w:t>Status: Approved</w:t>
      </w:r>
    </w:p>
    <w:p>
      <w:pPr>
        <w:pStyle w:val="Heading2"/>
      </w:pPr>
      <w:r>
        <w:t>Purpose</w:t>
      </w:r>
    </w:p>
    <w:p>
      <w:r>
        <w:t>Enterprise database architecture specification.</w:t>
      </w:r>
    </w:p>
    <w:p>
      <w:pPr>
        <w:pStyle w:val="Heading2"/>
      </w:pPr>
      <w:r>
        <w:t>Architecture</w:t>
      </w:r>
    </w:p>
    <w:p>
      <w:r>
        <w:t>Separation of concerns; time-aware; immutable history; event sourcing; version-first; metadata-driven; API-first.</w:t>
      </w:r>
    </w:p>
    <w:p>
      <w:pPr>
        <w:pStyle w:val="Heading2"/>
      </w:pPr>
      <w:r>
        <w:t>Domains</w:t>
      </w:r>
    </w:p>
    <w:p>
      <w:r>
        <w:t>Kernel, Reference, Metadata, Market, Macro, Corporate, Financials, Governance, Factors, Screening, Portfolio, Orders, Risk, Optimization, Backtest, Simulation, Reporting, Compliance, Knowledge Base, Administration.</w:t>
      </w:r>
    </w:p>
    <w:p>
      <w:pPr>
        <w:pStyle w:val="Heading2"/>
      </w:pPr>
      <w:r>
        <w:t>Standards</w:t>
      </w:r>
    </w:p>
    <w:p>
      <w:r>
        <w:t>UUID, audit fields, soft delete, valid_from/valid_to, dataset/rule/model versioning, snake_case, FK integrity.</w:t>
      </w:r>
    </w:p>
    <w:p>
      <w:pPr>
        <w:pStyle w:val="Heading2"/>
      </w:pPr>
      <w:r>
        <w:t>Governance</w:t>
      </w:r>
    </w:p>
    <w:p>
      <w:r>
        <w:t>Master Data, Business Glossary, Metric Catalog, Formula Catalog, Rule Engine, Data Lineage, Data Quality.</w:t>
      </w:r>
    </w:p>
    <w:p>
      <w:pPr>
        <w:pStyle w:val="Heading2"/>
      </w:pPr>
      <w:r>
        <w:t>Security</w:t>
      </w:r>
    </w:p>
    <w:p>
      <w:r>
        <w:t>RBAC, audit trail, encryption, least privilege.</w:t>
      </w:r>
    </w:p>
    <w:p>
      <w:pPr>
        <w:pStyle w:val="Heading2"/>
      </w:pPr>
      <w:r>
        <w:t>NFR</w:t>
      </w:r>
    </w:p>
    <w:p>
      <w:r>
        <w:t>99.9% availability target, backups, migration policy, regression tests.</w:t>
      </w:r>
    </w:p>
    <w:p>
      <w:pPr>
        <w:pStyle w:val="Heading2"/>
      </w:pPr>
      <w:r>
        <w:t>Institutional Extensions</w:t>
      </w:r>
    </w:p>
    <w:p>
      <w:r>
        <w:t>Feature Store, Model Registry, Experiment Registry, Scenario Library, Calendar Engine, Compliance Engine, Decision Register.</w:t>
      </w:r>
    </w:p>
    <w:p>
      <w:pPr>
        <w:pStyle w:val="Heading2"/>
      </w:pPr>
      <w:r>
        <w:t>Reproducibility</w:t>
      </w:r>
    </w:p>
    <w:p>
      <w:r>
        <w:t>Store dataset_version, rule_version, model_version, scenario, execution timestamp, checksum.</w:t>
      </w:r>
    </w:p>
    <w:p>
      <w:pPr>
        <w:pStyle w:val="Heading2"/>
      </w:pPr>
      <w:r>
        <w:t>Roadmap</w:t>
      </w:r>
    </w:p>
    <w:p>
      <w:r>
        <w:t>DDS-002 -&gt; DDS-003 -&gt; SQL DDL -&gt; ETL -&gt; Methodologies -&gt; Engines.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