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rPr>
      </w:pPr>
      <w:r>
        <w:rPr>
          <w:rFonts w:ascii="Times New Roman" w:hAnsi="Times New Roman" w:eastAsia="仿宋"/>
          <w:sz w:val="30"/>
          <w:szCs w:val="30"/>
        </w:rPr>
        <w:t>特征比值分析</w:t>
      </w:r>
    </w:p>
    <w:p>
      <w:pPr>
        <w:spacing w:after="0" w:line="360" w:lineRule="auto"/>
        <w:ind w:firstLine="480" w:firstLineChars="200"/>
        <w:rPr>
          <w:rFonts w:ascii="Times New Roman" w:hAnsi="Times New Roman" w:eastAsia="仿宋"/>
          <w:sz w:val="24"/>
          <w:szCs w:val="24"/>
        </w:rPr>
      </w:pPr>
      <w:r>
        <w:rPr>
          <w:rFonts w:ascii="Times New Roman" w:hAnsi="Times New Roman" w:eastAsia="仿宋"/>
          <w:sz w:val="24"/>
          <w:szCs w:val="24"/>
        </w:rPr>
        <w:t>图为不同站点PM</w:t>
      </w:r>
      <w:r>
        <w:rPr>
          <w:rFonts w:ascii="Times New Roman" w:hAnsi="Times New Roman" w:eastAsia="仿宋"/>
          <w:sz w:val="24"/>
          <w:szCs w:val="24"/>
          <w:vertAlign w:val="subscript"/>
        </w:rPr>
        <w:t>2.5</w:t>
      </w:r>
      <w:r>
        <w:rPr>
          <w:rFonts w:ascii="Times New Roman" w:hAnsi="Times New Roman" w:eastAsia="仿宋"/>
          <w:sz w:val="24"/>
          <w:szCs w:val="24"/>
        </w:rPr>
        <w:t>化学组成特征比值。根据SO</w:t>
      </w:r>
      <w:r>
        <w:rPr>
          <w:rFonts w:ascii="Times New Roman" w:hAnsi="Times New Roman" w:eastAsia="仿宋"/>
          <w:sz w:val="24"/>
          <w:szCs w:val="24"/>
          <w:vertAlign w:val="subscript"/>
        </w:rPr>
        <w:t>4</w:t>
      </w:r>
      <w:r>
        <w:rPr>
          <w:rFonts w:ascii="Times New Roman" w:hAnsi="Times New Roman" w:eastAsia="仿宋"/>
          <w:sz w:val="24"/>
          <w:szCs w:val="24"/>
          <w:vertAlign w:val="superscript"/>
        </w:rPr>
        <w:t>2-</w:t>
      </w:r>
      <w:r>
        <w:rPr>
          <w:rFonts w:ascii="Times New Roman" w:hAnsi="Times New Roman" w:eastAsia="仿宋"/>
          <w:sz w:val="24"/>
          <w:szCs w:val="24"/>
        </w:rPr>
        <w:t>和NO</w:t>
      </w:r>
      <w:r>
        <w:rPr>
          <w:rFonts w:ascii="Times New Roman" w:hAnsi="Times New Roman" w:eastAsia="仿宋"/>
          <w:sz w:val="24"/>
          <w:szCs w:val="24"/>
          <w:vertAlign w:val="subscript"/>
        </w:rPr>
        <w:t>3</w:t>
      </w:r>
      <w:r>
        <w:rPr>
          <w:rFonts w:ascii="Times New Roman" w:hAnsi="Times New Roman" w:eastAsia="仿宋"/>
          <w:sz w:val="24"/>
          <w:szCs w:val="24"/>
          <w:vertAlign w:val="superscript"/>
        </w:rPr>
        <w:t>-</w:t>
      </w:r>
      <w:r>
        <w:rPr>
          <w:rFonts w:ascii="Times New Roman" w:hAnsi="Times New Roman" w:eastAsia="仿宋"/>
          <w:sz w:val="24"/>
          <w:szCs w:val="24"/>
        </w:rPr>
        <w:t>的质量浓度之比可以判断大气中S和N的固定源和流动源的相对重要程度。在以机动车污染为主的地区，NO</w:t>
      </w:r>
      <w:r>
        <w:rPr>
          <w:rFonts w:ascii="Times New Roman" w:hAnsi="Times New Roman" w:eastAsia="仿宋"/>
          <w:sz w:val="24"/>
          <w:szCs w:val="24"/>
          <w:vertAlign w:val="subscript"/>
        </w:rPr>
        <w:t>3</w:t>
      </w:r>
      <w:r>
        <w:rPr>
          <w:rFonts w:ascii="Times New Roman" w:hAnsi="Times New Roman" w:eastAsia="仿宋"/>
          <w:sz w:val="24"/>
          <w:szCs w:val="24"/>
          <w:vertAlign w:val="superscript"/>
        </w:rPr>
        <w:t>-</w:t>
      </w:r>
      <w:r>
        <w:rPr>
          <w:rFonts w:ascii="Times New Roman" w:hAnsi="Times New Roman" w:eastAsia="仿宋"/>
          <w:sz w:val="24"/>
          <w:szCs w:val="24"/>
        </w:rPr>
        <w:t>的质量浓度往往高于SO</w:t>
      </w:r>
      <w:r>
        <w:rPr>
          <w:rFonts w:ascii="Times New Roman" w:hAnsi="Times New Roman" w:eastAsia="仿宋"/>
          <w:sz w:val="24"/>
          <w:szCs w:val="24"/>
          <w:vertAlign w:val="subscript"/>
        </w:rPr>
        <w:t>4</w:t>
      </w:r>
      <w:r>
        <w:rPr>
          <w:rFonts w:ascii="Times New Roman" w:hAnsi="Times New Roman" w:eastAsia="仿宋"/>
          <w:sz w:val="24"/>
          <w:szCs w:val="24"/>
          <w:vertAlign w:val="superscript"/>
        </w:rPr>
        <w:t>2-</w:t>
      </w:r>
      <w:r>
        <w:rPr>
          <w:rFonts w:ascii="Times New Roman" w:hAnsi="Times New Roman" w:eastAsia="仿宋"/>
          <w:sz w:val="24"/>
          <w:szCs w:val="24"/>
        </w:rPr>
        <w:t>。我国由于含硫煤的广泛使用,此值通常较高(大于1)。一般认为[SO</w:t>
      </w:r>
      <w:r>
        <w:rPr>
          <w:rFonts w:ascii="Times New Roman" w:hAnsi="Times New Roman" w:eastAsia="仿宋"/>
          <w:sz w:val="24"/>
          <w:szCs w:val="24"/>
          <w:vertAlign w:val="subscript"/>
        </w:rPr>
        <w:t>4</w:t>
      </w:r>
      <w:r>
        <w:rPr>
          <w:rFonts w:ascii="Times New Roman" w:hAnsi="Times New Roman" w:eastAsia="仿宋"/>
          <w:sz w:val="24"/>
          <w:szCs w:val="24"/>
          <w:vertAlign w:val="superscript"/>
        </w:rPr>
        <w:t>2-</w:t>
      </w:r>
      <w:r>
        <w:rPr>
          <w:rFonts w:ascii="Times New Roman" w:hAnsi="Times New Roman" w:eastAsia="仿宋"/>
          <w:sz w:val="24"/>
          <w:szCs w:val="24"/>
        </w:rPr>
        <w:t>]/[NO</w:t>
      </w:r>
      <w:r>
        <w:rPr>
          <w:rFonts w:ascii="Times New Roman" w:hAnsi="Times New Roman" w:eastAsia="仿宋"/>
          <w:sz w:val="24"/>
          <w:szCs w:val="24"/>
          <w:vertAlign w:val="subscript"/>
        </w:rPr>
        <w:t>3</w:t>
      </w:r>
      <w:r>
        <w:rPr>
          <w:rFonts w:ascii="Times New Roman" w:hAnsi="Times New Roman" w:eastAsia="仿宋"/>
          <w:sz w:val="24"/>
          <w:szCs w:val="24"/>
          <w:vertAlign w:val="superscript"/>
        </w:rPr>
        <w:t>-</w:t>
      </w:r>
      <w:r>
        <w:rPr>
          <w:rFonts w:ascii="Times New Roman" w:hAnsi="Times New Roman" w:eastAsia="仿宋"/>
          <w:sz w:val="24"/>
          <w:szCs w:val="24"/>
        </w:rPr>
        <w:t>]比值高反映污染源以固定源为主，较低的[SO</w:t>
      </w:r>
      <w:r>
        <w:rPr>
          <w:rFonts w:ascii="Times New Roman" w:hAnsi="Times New Roman" w:eastAsia="仿宋"/>
          <w:sz w:val="24"/>
          <w:szCs w:val="24"/>
          <w:vertAlign w:val="subscript"/>
        </w:rPr>
        <w:t>4</w:t>
      </w:r>
      <w:r>
        <w:rPr>
          <w:rFonts w:ascii="Times New Roman" w:hAnsi="Times New Roman" w:eastAsia="仿宋"/>
          <w:sz w:val="24"/>
          <w:szCs w:val="24"/>
          <w:vertAlign w:val="superscript"/>
        </w:rPr>
        <w:t>2-</w:t>
      </w:r>
      <w:r>
        <w:rPr>
          <w:rFonts w:ascii="Times New Roman" w:hAnsi="Times New Roman" w:eastAsia="仿宋"/>
          <w:sz w:val="24"/>
          <w:szCs w:val="24"/>
        </w:rPr>
        <w:t>]/[NO</w:t>
      </w:r>
      <w:r>
        <w:rPr>
          <w:rFonts w:ascii="Times New Roman" w:hAnsi="Times New Roman" w:eastAsia="仿宋"/>
          <w:sz w:val="24"/>
          <w:szCs w:val="24"/>
          <w:vertAlign w:val="subscript"/>
        </w:rPr>
        <w:t>3</w:t>
      </w:r>
      <w:r>
        <w:rPr>
          <w:rFonts w:ascii="Times New Roman" w:hAnsi="Times New Roman" w:eastAsia="仿宋"/>
          <w:sz w:val="24"/>
          <w:szCs w:val="24"/>
          <w:vertAlign w:val="superscript"/>
        </w:rPr>
        <w:t>-</w:t>
      </w:r>
      <w:r>
        <w:rPr>
          <w:rFonts w:ascii="Times New Roman" w:hAnsi="Times New Roman" w:eastAsia="仿宋"/>
          <w:sz w:val="24"/>
          <w:szCs w:val="24"/>
        </w:rPr>
        <w:t>]比值反映流动源的影响较大。各采样点[SO</w:t>
      </w:r>
      <w:r>
        <w:rPr>
          <w:rFonts w:ascii="Times New Roman" w:hAnsi="Times New Roman" w:eastAsia="仿宋"/>
          <w:sz w:val="24"/>
          <w:szCs w:val="24"/>
          <w:vertAlign w:val="subscript"/>
        </w:rPr>
        <w:t>4</w:t>
      </w:r>
      <w:r>
        <w:rPr>
          <w:rFonts w:ascii="Times New Roman" w:hAnsi="Times New Roman" w:eastAsia="仿宋"/>
          <w:sz w:val="24"/>
          <w:szCs w:val="24"/>
          <w:vertAlign w:val="superscript"/>
        </w:rPr>
        <w:t>2-</w:t>
      </w:r>
      <w:r>
        <w:rPr>
          <w:rFonts w:ascii="Times New Roman" w:hAnsi="Times New Roman" w:eastAsia="仿宋"/>
          <w:sz w:val="24"/>
          <w:szCs w:val="24"/>
        </w:rPr>
        <w:t>]/[NO</w:t>
      </w:r>
      <w:r>
        <w:rPr>
          <w:rFonts w:ascii="Times New Roman" w:hAnsi="Times New Roman" w:eastAsia="仿宋"/>
          <w:sz w:val="24"/>
          <w:szCs w:val="24"/>
          <w:vertAlign w:val="subscript"/>
        </w:rPr>
        <w:t>3</w:t>
      </w:r>
      <w:r>
        <w:rPr>
          <w:rFonts w:ascii="Times New Roman" w:hAnsi="Times New Roman" w:eastAsia="仿宋"/>
          <w:sz w:val="24"/>
          <w:szCs w:val="24"/>
          <w:vertAlign w:val="superscript"/>
        </w:rPr>
        <w:t>-</w:t>
      </w:r>
      <w:r>
        <w:rPr>
          <w:rFonts w:ascii="Times New Roman" w:hAnsi="Times New Roman" w:eastAsia="仿宋"/>
          <w:sz w:val="24"/>
          <w:szCs w:val="24"/>
        </w:rPr>
        <w:t>]平均比值见图</w:t>
      </w:r>
      <w:r>
        <w:rPr>
          <w:rFonts w:hint="eastAsia" w:ascii="Times New Roman" w:hAnsi="Times New Roman" w:eastAsia="仿宋"/>
          <w:sz w:val="24"/>
          <w:szCs w:val="24"/>
          <w:lang w:val="en-US" w:eastAsia="zh-CN"/>
        </w:rPr>
        <w:t>5</w:t>
      </w:r>
      <w:r>
        <w:rPr>
          <w:rFonts w:ascii="Times New Roman" w:hAnsi="Times New Roman" w:eastAsia="仿宋"/>
          <w:sz w:val="24"/>
          <w:szCs w:val="24"/>
        </w:rPr>
        <w:t>。</w:t>
      </w:r>
      <w:r>
        <w:rPr>
          <w:rFonts w:hint="eastAsia" w:ascii="Times New Roman" w:hAnsi="Times New Roman" w:eastAsia="仿宋"/>
          <w:sz w:val="24"/>
          <w:szCs w:val="24"/>
        </w:rPr>
        <w:t>八公山、</w:t>
      </w:r>
      <w:r>
        <w:rPr>
          <w:rFonts w:hint="eastAsia" w:ascii="Times New Roman" w:hAnsi="Times New Roman" w:eastAsia="仿宋"/>
          <w:sz w:val="24"/>
          <w:szCs w:val="24"/>
        </w:rPr>
        <w:t>师范学院和</w:t>
      </w:r>
      <w:r>
        <w:rPr>
          <w:rFonts w:hint="eastAsia" w:ascii="Times New Roman" w:hAnsi="Times New Roman" w:eastAsia="仿宋"/>
          <w:sz w:val="24"/>
          <w:szCs w:val="24"/>
        </w:rPr>
        <w:t>潘集区政府</w:t>
      </w:r>
      <w:r>
        <w:rPr>
          <w:rFonts w:hint="eastAsia" w:ascii="Times New Roman" w:hAnsi="Times New Roman" w:eastAsia="仿宋"/>
          <w:sz w:val="24"/>
          <w:szCs w:val="24"/>
        </w:rPr>
        <w:t>秋季PM</w:t>
      </w:r>
      <w:r>
        <w:rPr>
          <w:rFonts w:ascii="Times New Roman" w:hAnsi="Times New Roman" w:eastAsia="仿宋"/>
          <w:sz w:val="24"/>
          <w:szCs w:val="24"/>
          <w:vertAlign w:val="subscript"/>
        </w:rPr>
        <w:t>2.5</w:t>
      </w:r>
      <w:r>
        <w:rPr>
          <w:rFonts w:ascii="Times New Roman" w:hAnsi="Times New Roman" w:eastAsia="仿宋"/>
          <w:sz w:val="24"/>
          <w:szCs w:val="24"/>
        </w:rPr>
        <w:t>中硫酸盐/硝酸盐平均值分别为</w:t>
      </w:r>
      <w:r>
        <w:rPr>
          <w:rFonts w:hint="eastAsia" w:ascii="Times New Roman" w:hAnsi="Times New Roman" w:eastAsia="仿宋"/>
          <w:sz w:val="24"/>
          <w:szCs w:val="24"/>
        </w:rPr>
        <w:t>0.37、</w:t>
      </w:r>
      <w:r>
        <w:rPr>
          <w:rFonts w:hint="eastAsia" w:ascii="Times New Roman" w:hAnsi="Times New Roman" w:eastAsia="仿宋"/>
          <w:sz w:val="24"/>
          <w:szCs w:val="24"/>
        </w:rPr>
        <w:t>0.39和</w:t>
      </w:r>
      <w:r>
        <w:rPr>
          <w:rFonts w:hint="eastAsia" w:ascii="Times New Roman" w:hAnsi="Times New Roman" w:eastAsia="仿宋"/>
          <w:sz w:val="24"/>
          <w:szCs w:val="24"/>
        </w:rPr>
        <w:t>0.42，</w:t>
      </w:r>
      <w:r>
        <w:rPr>
          <w:rFonts w:hint="eastAsia" w:ascii="Times New Roman" w:hAnsi="Times New Roman" w:eastAsia="仿宋"/>
          <w:sz w:val="24"/>
          <w:szCs w:val="24"/>
        </w:rPr>
        <w:t>不同</w:t>
      </w:r>
      <w:r>
        <w:rPr>
          <w:rFonts w:ascii="Times New Roman" w:hAnsi="Times New Roman" w:eastAsia="仿宋"/>
          <w:sz w:val="24"/>
          <w:szCs w:val="24"/>
        </w:rPr>
        <w:t>站点的比值都</w:t>
      </w:r>
      <w:r>
        <w:rPr>
          <w:rFonts w:hint="eastAsia" w:ascii="Times New Roman" w:hAnsi="Times New Roman" w:eastAsia="仿宋"/>
          <w:sz w:val="24"/>
          <w:szCs w:val="24"/>
          <w:lang w:val="en-US" w:eastAsia="zh-CN"/>
        </w:rPr>
        <w:t>小于</w:t>
      </w:r>
      <w:r>
        <w:rPr>
          <w:rFonts w:hint="eastAsia" w:ascii="Times New Roman" w:hAnsi="Times New Roman" w:eastAsia="仿宋"/>
          <w:sz w:val="24"/>
          <w:szCs w:val="24"/>
        </w:rPr>
        <w:t>1，说明</w:t>
      </w:r>
      <w:r>
        <w:rPr>
          <w:rFonts w:hint="eastAsia" w:ascii="Times New Roman" w:hAnsi="Times New Roman" w:eastAsia="仿宋"/>
          <w:sz w:val="24"/>
          <w:szCs w:val="24"/>
        </w:rPr>
        <w:t>淮南市的大气污染虽然呈现燃煤污染与机动车污染共存的复合污染类型，但以移动源污染为主。</w:t>
      </w:r>
    </w:p>
    <w:p>
      <w:pPr>
        <w:spacing w:after="0" w:line="360" w:lineRule="auto"/>
        <w:ind w:firstLine="480" w:firstLineChars="200"/>
        <w:rPr>
          <w:rFonts w:ascii="Times New Roman" w:hAnsi="Times New Roman" w:eastAsia="仿宋"/>
          <w:kern w:val="2"/>
          <w:sz w:val="24"/>
          <w:szCs w:val="24"/>
        </w:rPr>
      </w:pPr>
      <w:r>
        <w:rPr>
          <w:rFonts w:ascii="Times New Roman" w:hAnsi="Times New Roman" w:eastAsia="仿宋"/>
          <w:kern w:val="2"/>
          <w:sz w:val="24"/>
          <w:szCs w:val="24"/>
        </w:rPr>
        <w:t>EC主要来自含碳燃料的不完全燃烧，性质稳定，在大气中不易发生化学转化,因此，EC常被用作燃烧源的示踪物。不少研究通过二者之间的相关性来初步估计OC、EC的污染来源。</w:t>
      </w:r>
      <w:r>
        <w:rPr>
          <w:rFonts w:hint="eastAsia" w:ascii="Times New Roman" w:hAnsi="Times New Roman" w:eastAsia="仿宋"/>
          <w:sz w:val="24"/>
          <w:szCs w:val="24"/>
        </w:rPr>
        <w:t>八公山</w:t>
      </w:r>
      <w:r>
        <w:rPr>
          <w:rFonts w:ascii="Times New Roman" w:hAnsi="Times New Roman" w:eastAsia="仿宋"/>
          <w:kern w:val="2"/>
          <w:sz w:val="24"/>
          <w:szCs w:val="24"/>
        </w:rPr>
        <w:t>、</w:t>
      </w:r>
      <w:r>
        <w:rPr>
          <w:rFonts w:hint="eastAsia" w:ascii="Times New Roman" w:hAnsi="Times New Roman" w:eastAsia="仿宋"/>
          <w:sz w:val="24"/>
          <w:szCs w:val="24"/>
        </w:rPr>
        <w:t>师范学院</w:t>
      </w:r>
      <w:r>
        <w:rPr>
          <w:rFonts w:ascii="Times New Roman" w:hAnsi="Times New Roman" w:eastAsia="仿宋"/>
          <w:kern w:val="2"/>
          <w:sz w:val="24"/>
          <w:szCs w:val="24"/>
        </w:rPr>
        <w:t>和</w:t>
      </w:r>
      <w:r>
        <w:rPr>
          <w:rFonts w:hint="eastAsia" w:ascii="Times New Roman" w:hAnsi="Times New Roman" w:eastAsia="仿宋"/>
          <w:sz w:val="24"/>
          <w:szCs w:val="24"/>
        </w:rPr>
        <w:t>潘集区政府</w:t>
      </w:r>
      <w:r>
        <w:rPr>
          <w:rFonts w:hint="eastAsia" w:ascii="Times New Roman" w:hAnsi="Times New Roman" w:eastAsia="仿宋"/>
          <w:sz w:val="24"/>
          <w:szCs w:val="24"/>
        </w:rPr>
        <w:t/>
      </w:r>
      <w:r>
        <w:rPr>
          <w:rFonts w:ascii="Times New Roman" w:hAnsi="Times New Roman" w:eastAsia="仿宋"/>
          <w:kern w:val="2"/>
          <w:sz w:val="24"/>
          <w:szCs w:val="24"/>
        </w:rPr>
        <w:t>PM</w:t>
      </w:r>
      <w:r>
        <w:rPr>
          <w:rFonts w:ascii="Times New Roman" w:hAnsi="Times New Roman" w:eastAsia="仿宋"/>
          <w:kern w:val="2"/>
          <w:sz w:val="24"/>
          <w:szCs w:val="24"/>
          <w:vertAlign w:val="subscript"/>
        </w:rPr>
        <w:t>2.5</w:t>
      </w:r>
      <w:r>
        <w:rPr>
          <w:rFonts w:ascii="Times New Roman" w:hAnsi="Times New Roman" w:eastAsia="仿宋"/>
          <w:kern w:val="2"/>
          <w:sz w:val="24"/>
          <w:szCs w:val="24"/>
        </w:rPr>
        <w:t>中OC/EC平均值分别为</w:t>
      </w:r>
      <w:r>
        <w:rPr>
          <w:rFonts w:hint="eastAsia" w:ascii="Times New Roman" w:hAnsi="Times New Roman" w:eastAsia="仿宋"/>
          <w:sz w:val="24"/>
          <w:szCs w:val="24"/>
        </w:rPr>
        <w:t>3.81</w:t>
      </w:r>
      <w:r>
        <w:rPr>
          <w:rFonts w:ascii="Times New Roman" w:hAnsi="Times New Roman" w:eastAsia="仿宋"/>
          <w:kern w:val="2"/>
          <w:sz w:val="24"/>
          <w:szCs w:val="24"/>
        </w:rPr>
        <w:t>、</w:t>
      </w:r>
      <w:r>
        <w:rPr>
          <w:rFonts w:hint="eastAsia" w:ascii="Times New Roman" w:hAnsi="Times New Roman" w:eastAsia="仿宋"/>
          <w:sz w:val="24"/>
          <w:szCs w:val="24"/>
        </w:rPr>
        <w:t>4.49</w:t>
      </w:r>
      <w:r>
        <w:rPr>
          <w:rFonts w:ascii="Times New Roman" w:hAnsi="Times New Roman" w:eastAsia="仿宋"/>
          <w:kern w:val="2"/>
          <w:sz w:val="24"/>
          <w:szCs w:val="24"/>
        </w:rPr>
        <w:t>和</w:t>
      </w:r>
      <w:r>
        <w:rPr>
          <w:rFonts w:hint="eastAsia" w:ascii="Times New Roman" w:hAnsi="Times New Roman" w:eastAsia="仿宋"/>
          <w:sz w:val="24"/>
          <w:szCs w:val="24"/>
        </w:rPr>
        <w:t>5.54</w:t>
      </w:r>
      <w:r>
        <w:rPr>
          <w:rFonts w:ascii="Times New Roman" w:hAnsi="Times New Roman" w:eastAsia="仿宋"/>
          <w:kern w:val="2"/>
          <w:sz w:val="24"/>
          <w:szCs w:val="24"/>
        </w:rPr>
        <w:t>，</w:t>
      </w:r>
      <w:r>
        <w:rPr>
          <w:rFonts w:hint="eastAsia" w:ascii="Times New Roman" w:hAnsi="Times New Roman" w:eastAsia="仿宋"/>
          <w:kern w:val="2"/>
          <w:sz w:val="24"/>
          <w:szCs w:val="24"/>
        </w:rPr>
        <w:t>不同</w:t>
      </w:r>
      <w:r>
        <w:rPr>
          <w:rFonts w:ascii="Times New Roman" w:hAnsi="Times New Roman" w:eastAsia="仿宋"/>
          <w:kern w:val="2"/>
          <w:sz w:val="24"/>
          <w:szCs w:val="24"/>
        </w:rPr>
        <w:t>站点的比值都</w:t>
      </w:r>
      <w:r>
        <w:rPr>
          <w:rFonts w:hint="eastAsia" w:ascii="Times New Roman" w:hAnsi="Times New Roman" w:eastAsia="仿宋"/>
          <w:kern w:val="2"/>
          <w:sz w:val="24"/>
          <w:szCs w:val="24"/>
          <w:lang w:val="en-US" w:eastAsia="zh-CN"/>
        </w:rPr>
        <w:t>大于</w:t>
      </w:r>
      <w:r>
        <w:rPr>
          <w:rFonts w:hint="eastAsia" w:ascii="Times New Roman" w:hAnsi="Times New Roman" w:eastAsia="仿宋"/>
          <w:sz w:val="24"/>
          <w:szCs w:val="24"/>
        </w:rPr>
        <w:t>3</w:t>
      </w:r>
      <w:r>
        <w:rPr>
          <w:rFonts w:ascii="Times New Roman" w:hAnsi="Times New Roman" w:eastAsia="仿宋"/>
          <w:kern w:val="2"/>
          <w:sz w:val="24"/>
          <w:szCs w:val="24"/>
        </w:rPr>
        <w:t>。</w:t>
      </w:r>
      <w:r>
        <w:rPr>
          <w:rFonts w:hint="eastAsia" w:ascii="Times New Roman" w:hAnsi="Times New Roman" w:eastAsia="仿宋"/>
          <w:sz w:val="24"/>
          <w:szCs w:val="24"/>
        </w:rPr>
        <w:t>淮南市</w:t>
      </w:r>
      <w:r>
        <w:rPr>
          <w:rFonts w:hint="eastAsia" w:ascii="Times New Roman" w:hAnsi="Times New Roman" w:eastAsia="仿宋"/>
          <w:sz w:val="24"/>
          <w:szCs w:val="24"/>
        </w:rPr>
        <w:t>秋季</w:t>
      </w:r>
      <w:r>
        <w:rPr>
          <w:rFonts w:hint="eastAsia" w:ascii="Times New Roman" w:hAnsi="Times New Roman" w:eastAsia="仿宋"/>
          <w:kern w:val="2"/>
          <w:sz w:val="24"/>
          <w:szCs w:val="24"/>
        </w:rPr>
        <w:t>不同</w:t>
      </w:r>
      <w:r>
        <w:rPr>
          <w:rFonts w:ascii="Times New Roman" w:hAnsi="Times New Roman" w:eastAsia="仿宋"/>
          <w:kern w:val="2"/>
          <w:sz w:val="24"/>
          <w:szCs w:val="24"/>
        </w:rPr>
        <w:t>站点OC与EC的比值在</w:t>
      </w:r>
      <w:r>
        <w:rPr>
          <w:rFonts w:hint="eastAsia" w:ascii="Times New Roman" w:hAnsi="Times New Roman" w:eastAsia="仿宋"/>
          <w:sz w:val="24"/>
          <w:szCs w:val="24"/>
        </w:rPr>
        <w:t>3</w:t>
      </w:r>
      <w:r>
        <w:rPr>
          <w:rFonts w:ascii="Times New Roman" w:hAnsi="Times New Roman" w:eastAsia="仿宋"/>
          <w:kern w:val="2"/>
          <w:sz w:val="24"/>
          <w:szCs w:val="24"/>
        </w:rPr>
        <w:t>到</w:t>
      </w:r>
      <w:r>
        <w:rPr>
          <w:rFonts w:hint="eastAsia" w:ascii="Times New Roman" w:hAnsi="Times New Roman" w:eastAsia="仿宋"/>
          <w:sz w:val="24"/>
          <w:szCs w:val="24"/>
        </w:rPr>
        <w:t>5</w:t>
      </w:r>
      <w:r>
        <w:rPr>
          <w:rFonts w:ascii="Times New Roman" w:hAnsi="Times New Roman" w:eastAsia="仿宋"/>
          <w:kern w:val="2"/>
          <w:sz w:val="24"/>
          <w:szCs w:val="24"/>
        </w:rPr>
        <w:t>之间。</w:t>
      </w:r>
    </w:p>
    <w:p>
      <w:pPr>
        <w:spacing w:line="360" w:lineRule="auto"/>
        <w:jc w:val="center"/>
        <w:rPr>
          <w:rFonts w:hint="eastAsia" w:ascii="Times New Roman" w:hAnsi="Times New Roman"/>
          <w:lang w:val="en-US" w:eastAsia="zh-CN"/>
        </w:rPr>
      </w:pPr>
      <w:r>
        <w:rPr>
          <w:rFonts w:hint="eastAsia" w:ascii="Times New Roman" w:hAnsi="Times New Roman"/>
          <w:lang w:val="en-US" w:eastAsia="zh-CN"/>
        </w:rPr>
        <w:t/>
      </w:r>
      <w:r>
        <w:drawing>
          <wp:inline xmlns:a="http://schemas.openxmlformats.org/drawingml/2006/main" xmlns:pic="http://schemas.openxmlformats.org/drawingml/2006/picture">
            <wp:extent cx="5400000" cy="4050000"/>
            <wp:docPr id="1" name="Picture 1"/>
            <wp:cNvGraphicFramePr>
              <a:graphicFrameLocks noChangeAspect="1"/>
            </wp:cNvGraphicFramePr>
            <a:graphic>
              <a:graphicData uri="http://schemas.openxmlformats.org/drawingml/2006/picture">
                <pic:pic>
                  <pic:nvPicPr>
                    <pic:cNvPr id="0" name="image_sn.png"/>
                    <pic:cNvPicPr/>
                  </pic:nvPicPr>
                  <pic:blipFill>
                    <a:blip r:embed="rId6"/>
                    <a:stretch>
                      <a:fillRect/>
                    </a:stretch>
                  </pic:blipFill>
                  <pic:spPr>
                    <a:xfrm>
                      <a:off x="0" y="0"/>
                      <a:ext cx="5400000" cy="4050000"/>
                    </a:xfrm>
                    <a:prstGeom prst="rect"/>
                  </pic:spPr>
                </pic:pic>
              </a:graphicData>
            </a:graphic>
          </wp:inline>
        </w:drawing>
      </w:r>
      <w:r>
        <w:t xml:space="preserve"/>
      </w:r>
    </w:p>
    <w:p>
      <w:pPr>
        <w:jc w:val="center"/>
        <w:rPr>
          <w:rFonts w:hint="default" w:ascii="Times New Roman" w:hAnsi="Times New Roman" w:eastAsia="等线"/>
          <w:sz w:val="24"/>
          <w:szCs w:val="24"/>
          <w:lang w:val="en-US" w:eastAsia="zh-CN"/>
        </w:rPr>
      </w:pPr>
      <w:r>
        <w:rPr>
          <w:rFonts w:hint="eastAsia" w:ascii="Times New Roman" w:hAnsi="Times New Roman"/>
          <w:sz w:val="24"/>
          <w:szCs w:val="24"/>
          <w:lang w:val="en-US" w:eastAsia="zh-CN"/>
        </w:rPr>
        <w:t/>
      </w:r>
      <w:r>
        <w:drawing>
          <wp:inline xmlns:a="http://schemas.openxmlformats.org/drawingml/2006/main" xmlns:pic="http://schemas.openxmlformats.org/drawingml/2006/picture">
            <wp:extent cx="5400000" cy="4050000"/>
            <wp:docPr id="1" name="Picture 1"/>
            <wp:cNvGraphicFramePr>
              <a:graphicFrameLocks noChangeAspect="1"/>
            </wp:cNvGraphicFramePr>
            <a:graphic>
              <a:graphicData uri="http://schemas.openxmlformats.org/drawingml/2006/picture">
                <pic:pic>
                  <pic:nvPicPr>
                    <pic:cNvPr id="0" name="image_oe.png"/>
                    <pic:cNvPicPr/>
                  </pic:nvPicPr>
                  <pic:blipFill>
                    <a:blip r:embed="rId7"/>
                    <a:stretch>
                      <a:fillRect/>
                    </a:stretch>
                  </pic:blipFill>
                  <pic:spPr>
                    <a:xfrm>
                      <a:off x="0" y="0"/>
                      <a:ext cx="5400000" cy="4050000"/>
                    </a:xfrm>
                    <a:prstGeom prst="rect"/>
                  </pic:spPr>
                </pic:pic>
              </a:graphicData>
            </a:graphic>
          </wp:inline>
        </w:drawing>
      </w:r>
      <w:r>
        <w:t xml:space="preserve"/>
      </w:r>
    </w:p>
    <w:p>
      <w:pPr>
        <w:spacing w:line="360" w:lineRule="auto"/>
        <w:jc w:val="center"/>
        <w:rPr>
          <w:rFonts w:ascii="Times New Roman" w:hAnsi="Times New Roman" w:eastAsia="仿宋"/>
          <w:sz w:val="24"/>
          <w:szCs w:val="24"/>
        </w:rPr>
      </w:pPr>
      <w:r>
        <w:rPr>
          <w:rFonts w:ascii="Times New Roman" w:hAnsi="Times New Roman" w:eastAsia="仿宋"/>
          <w:sz w:val="24"/>
          <w:szCs w:val="24"/>
        </w:rPr>
        <w:t>图5 不同站点PM</w:t>
      </w:r>
      <w:r>
        <w:rPr>
          <w:rFonts w:ascii="Times New Roman" w:hAnsi="Times New Roman" w:eastAsia="仿宋"/>
          <w:sz w:val="24"/>
          <w:szCs w:val="24"/>
          <w:vertAlign w:val="subscript"/>
        </w:rPr>
        <w:t>2.5</w:t>
      </w:r>
      <w:r>
        <w:rPr>
          <w:rFonts w:ascii="Times New Roman" w:hAnsi="Times New Roman" w:eastAsia="仿宋"/>
          <w:sz w:val="24"/>
          <w:szCs w:val="24"/>
        </w:rPr>
        <w:t>化学组成特征比值</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77"/>
    <w:rsid w:val="000A7F77"/>
    <w:rsid w:val="005E24C6"/>
    <w:rsid w:val="00867444"/>
    <w:rsid w:val="358D4A10"/>
    <w:rsid w:val="39587E5B"/>
    <w:rsid w:val="48E745A8"/>
    <w:rsid w:val="52CD40C7"/>
    <w:rsid w:val="540A6443"/>
    <w:rsid w:val="650F1894"/>
    <w:rsid w:val="6A2C0392"/>
    <w:rsid w:val="747B1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等线" w:cs="Times New Roman"/>
      <w:kern w:val="0"/>
      <w:sz w:val="22"/>
      <w:szCs w:val="22"/>
      <w:lang w:val="en-US" w:eastAsia="zh-CN" w:bidi="ar-SA"/>
    </w:rPr>
  </w:style>
  <w:style w:type="paragraph" w:styleId="2">
    <w:name w:val="heading 2"/>
    <w:basedOn w:val="1"/>
    <w:next w:val="1"/>
    <w:link w:val="9"/>
    <w:unhideWhenUsed/>
    <w:qFormat/>
    <w:uiPriority w:val="9"/>
    <w:pPr>
      <w:keepNext/>
      <w:keepLines/>
      <w:widowControl w:val="0"/>
      <w:spacing w:before="260" w:after="260" w:line="416" w:lineRule="auto"/>
      <w:jc w:val="both"/>
      <w:outlineLvl w:val="1"/>
    </w:pPr>
    <w:rPr>
      <w:rFonts w:ascii="等线 Light" w:hAnsi="等线 Light" w:eastAsia="等线 Light"/>
      <w:b/>
      <w:bCs/>
      <w:kern w:val="2"/>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widowControl w:val="0"/>
      <w:tabs>
        <w:tab w:val="center" w:pos="4153"/>
        <w:tab w:val="right" w:pos="8306"/>
      </w:tabs>
      <w:snapToGrid w:val="0"/>
      <w:spacing w:after="0" w:line="240" w:lineRule="auto"/>
    </w:pPr>
    <w:rPr>
      <w:rFonts w:asciiTheme="minorHAnsi" w:hAnsiTheme="minorHAnsi" w:eastAsiaTheme="minorEastAsia" w:cstheme="minorBidi"/>
      <w:kern w:val="2"/>
      <w:sz w:val="18"/>
      <w:szCs w:val="18"/>
    </w:rPr>
  </w:style>
  <w:style w:type="paragraph" w:styleId="4">
    <w:name w:val="header"/>
    <w:basedOn w:val="1"/>
    <w:link w:val="7"/>
    <w:unhideWhenUsed/>
    <w:uiPriority w:val="99"/>
    <w:pPr>
      <w:widowControl w:val="0"/>
      <w:pBdr>
        <w:bottom w:val="single" w:color="auto" w:sz="6" w:space="1"/>
      </w:pBdr>
      <w:tabs>
        <w:tab w:val="center" w:pos="4153"/>
        <w:tab w:val="right" w:pos="8306"/>
      </w:tabs>
      <w:snapToGrid w:val="0"/>
      <w:spacing w:after="0" w:line="240" w:lineRule="auto"/>
      <w:jc w:val="center"/>
    </w:pPr>
    <w:rPr>
      <w:rFonts w:asciiTheme="minorHAnsi" w:hAnsiTheme="minorHAnsi" w:eastAsiaTheme="minorEastAsia" w:cstheme="minorBidi"/>
      <w:kern w:val="2"/>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character" w:customStyle="1" w:styleId="9">
    <w:name w:val="标题 2 字符"/>
    <w:basedOn w:val="6"/>
    <w:link w:val="2"/>
    <w:uiPriority w:val="9"/>
    <w:rPr>
      <w:rFonts w:ascii="等线 Light" w:hAnsi="等线 Light" w:eastAsia="等线 Light" w:cs="Times New Roman"/>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91</Words>
  <Characters>522</Characters>
  <Lines>4</Lines>
  <Paragraphs>1</Paragraphs>
  <TotalTime>42</TotalTime>
  <ScaleCrop>false</ScaleCrop>
  <LinksUpToDate>false</LinksUpToDate>
  <CharactersWithSpaces>612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2020-03-11T11:15:00Z</dcterms:created>
  <dc:creator>Perfect Nymo</dc:creator>
  <cp:lastModifiedBy>KLYG</cp:lastModifiedBy>
  <dcterms:modified xsi:type="dcterms:W3CDTF">2020-03-12T13:06:38Z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