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4"/>
        </w:numPr>
        <w:tabs>
          <w:tab w:val="left" w:pos="540"/>
        </w:tabs>
        <w:spacing w:before="0" w:after="0" w:line="360" w:lineRule="auto"/>
        <w:ind w:left="773" w:hanging="773" w:hangingChars="275"/>
        <w:rPr>
          <w:rFonts w:ascii="Times New Roman" w:hAnsi="Times New Roman"/>
          <w:sz w:val="24"/>
          <w:szCs w:val="24"/>
        </w:rPr>
      </w:pPr>
      <w:bookmarkStart w:id="0" w:name="_Toc445193734"/>
      <w:r>
        <w:rPr>
          <w:rFonts w:ascii="Times New Roman" w:hAnsi="Times New Roman"/>
          <w:sz w:val="28"/>
          <w:szCs w:val="28"/>
        </w:rPr>
        <w:t>PM</w:t>
      </w:r>
      <w:r>
        <w:rPr>
          <w:rFonts w:ascii="Times New Roman" w:hAnsi="Times New Roman"/>
          <w:sz w:val="28"/>
          <w:szCs w:val="28"/>
          <w:vertAlign w:val="subscript"/>
        </w:rPr>
        <w:t>2.5</w:t>
      </w:r>
      <w:r>
        <w:rPr>
          <w:rFonts w:hint="eastAsia" w:ascii="Times New Roman" w:hAnsi="Times New Roman"/>
          <w:sz w:val="24"/>
          <w:szCs w:val="24"/>
        </w:rPr>
        <w:t>中水溶性无机离子成分分析</w:t>
      </w:r>
      <w:bookmarkEnd w:id="0"/>
    </w:p>
    <w:p>
      <w:pPr>
        <w:pStyle w:val="4"/>
        <w:numPr>
          <w:ilvl w:val="2"/>
          <w:numId w:val="4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1" w:name="_Toc445193736"/>
      <w:r>
        <w:rPr>
          <w:rFonts w:hint="eastAsia" w:ascii="Times New Roman" w:hAnsi="Times New Roman"/>
          <w:sz w:val="24"/>
          <w:szCs w:val="24"/>
        </w:rPr>
        <w:t>夏季PM2.5中水溶性无机离子浓度特征</w:t>
      </w:r>
      <w:bookmarkEnd w:id="1"/>
    </w:p>
    <w:p>
      <w:pPr>
        <w:spacing w:line="360" w:lineRule="auto"/>
        <w:ind w:firstLine="48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八公山、师范学院、潘集区政府水溶性离子占PM2.5分别为74.59%、70.61%和72.92%（表6.3-2）。</w:t>
      </w:r>
    </w:p>
    <w:p>
      <w:pPr>
        <w:wordWrap w:val="0"/>
        <w:jc w:val="righ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表6.3-2 不同站点水溶性无机离子浓度值及在TWSI中所占百分比单位：μg/m³</w:t>
      </w:r>
    </w:p>
    <w:p/>
    <w:tbl>
      <w:tblPr>
        <w:tblStyle w:val="38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1920"/>
            <w:gridSpan w:val="2"/>
          </w:tcPr>
          <w:p>
            <w:r>
              <w:t>八公山</w:t>
            </w:r>
          </w:p>
        </w:tc>
        <w:tc>
          <w:tcPr>
            <w:tcW w:type="dxa" w:w="1920"/>
            <w:gridSpan w:val="2"/>
          </w:tcPr>
          <w:p>
            <w:r>
              <w:t>师范学院</w:t>
            </w:r>
          </w:p>
        </w:tc>
        <w:tc>
          <w:tcPr>
            <w:tcW w:type="dxa" w:w="1920"/>
            <w:gridSpan w:val="2"/>
          </w:tcPr>
          <w:p>
            <w:r>
              <w:t>潘集区政府</w:t>
            </w:r>
          </w:p>
        </w:tc>
        <w:tc>
          <w:tcPr>
            <w:tcW w:type="dxa" w:w="1920"/>
            <w:gridSpan w:val="2"/>
          </w:tcPr>
          <w:p>
            <w:r>
              <w:t>监测站点（全部）</w:t>
            </w:r>
          </w:p>
        </w:tc>
      </w:tr>
      <w:tr>
        <w:tc>
          <w:tcPr>
            <w:tcW w:type="dxa" w:w="960"/>
          </w:tcPr>
          <w:p>
            <w:r>
              <w:t>水溶性离子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</w:tr>
      <w:tr>
        <w:tc>
          <w:tcPr>
            <w:tcW w:type="dxa" w:w="960"/>
          </w:tcPr>
          <w:p>
            <w:r>
              <w:t>SO4</w:t>
            </w:r>
          </w:p>
        </w:tc>
        <w:tc>
          <w:tcPr>
            <w:tcW w:type="dxa" w:w="960"/>
          </w:tcPr>
          <w:p>
            <w:r>
              <w:t>7.44</w:t>
            </w:r>
          </w:p>
        </w:tc>
        <w:tc>
          <w:tcPr>
            <w:tcW w:type="dxa" w:w="960"/>
          </w:tcPr>
          <w:p>
            <w:r>
              <w:t>31.17</w:t>
            </w:r>
          </w:p>
        </w:tc>
        <w:tc>
          <w:tcPr>
            <w:tcW w:type="dxa" w:w="960"/>
          </w:tcPr>
          <w:p>
            <w:r>
              <w:t>5.89</w:t>
            </w:r>
          </w:p>
        </w:tc>
        <w:tc>
          <w:tcPr>
            <w:tcW w:type="dxa" w:w="960"/>
          </w:tcPr>
          <w:p>
            <w:r>
              <w:t>30.76</w:t>
            </w:r>
          </w:p>
        </w:tc>
        <w:tc>
          <w:tcPr>
            <w:tcW w:type="dxa" w:w="960"/>
          </w:tcPr>
          <w:p>
            <w:r>
              <w:t>8.74</w:t>
            </w:r>
          </w:p>
        </w:tc>
        <w:tc>
          <w:tcPr>
            <w:tcW w:type="dxa" w:w="960"/>
          </w:tcPr>
          <w:p>
            <w:r>
              <w:t>37.27</w:t>
            </w:r>
          </w:p>
        </w:tc>
        <w:tc>
          <w:tcPr>
            <w:tcW w:type="dxa" w:w="960"/>
          </w:tcPr>
          <w:p>
            <w:r>
              <w:t>7.32</w:t>
            </w:r>
          </w:p>
        </w:tc>
        <w:tc>
          <w:tcPr>
            <w:tcW w:type="dxa" w:w="960"/>
          </w:tcPr>
          <w:p>
            <w:r>
              <w:t>33.15</w:t>
            </w:r>
          </w:p>
        </w:tc>
      </w:tr>
      <w:tr>
        <w:tc>
          <w:tcPr>
            <w:tcW w:type="dxa" w:w="960"/>
          </w:tcPr>
          <w:p>
            <w:r>
              <w:t>NO3</w:t>
            </w:r>
          </w:p>
        </w:tc>
        <w:tc>
          <w:tcPr>
            <w:tcW w:type="dxa" w:w="960"/>
          </w:tcPr>
          <w:p>
            <w:r>
              <w:t>9.17</w:t>
            </w:r>
          </w:p>
        </w:tc>
        <w:tc>
          <w:tcPr>
            <w:tcW w:type="dxa" w:w="960"/>
          </w:tcPr>
          <w:p>
            <w:r>
              <w:t>38.38</w:t>
            </w:r>
          </w:p>
        </w:tc>
        <w:tc>
          <w:tcPr>
            <w:tcW w:type="dxa" w:w="960"/>
          </w:tcPr>
          <w:p>
            <w:r>
              <w:t>7.92</w:t>
            </w:r>
          </w:p>
        </w:tc>
        <w:tc>
          <w:tcPr>
            <w:tcW w:type="dxa" w:w="960"/>
          </w:tcPr>
          <w:p>
            <w:r>
              <w:t>41.33</w:t>
            </w:r>
          </w:p>
        </w:tc>
        <w:tc>
          <w:tcPr>
            <w:tcW w:type="dxa" w:w="960"/>
          </w:tcPr>
          <w:p>
            <w:r>
              <w:t>8.77</w:t>
            </w:r>
          </w:p>
        </w:tc>
        <w:tc>
          <w:tcPr>
            <w:tcW w:type="dxa" w:w="960"/>
          </w:tcPr>
          <w:p>
            <w:r>
              <w:t>37.39</w:t>
            </w:r>
          </w:p>
        </w:tc>
        <w:tc>
          <w:tcPr>
            <w:tcW w:type="dxa" w:w="960"/>
          </w:tcPr>
          <w:p>
            <w:r>
              <w:t>8.60</w:t>
            </w:r>
          </w:p>
        </w:tc>
        <w:tc>
          <w:tcPr>
            <w:tcW w:type="dxa" w:w="960"/>
          </w:tcPr>
          <w:p>
            <w:r>
              <w:t>38.93</w:t>
            </w:r>
          </w:p>
        </w:tc>
      </w:tr>
      <w:tr>
        <w:tc>
          <w:tcPr>
            <w:tcW w:type="dxa" w:w="960"/>
          </w:tcPr>
          <w:p>
            <w:r>
              <w:t>Cl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  <w:tr>
        <w:tc>
          <w:tcPr>
            <w:tcW w:type="dxa" w:w="960"/>
          </w:tcPr>
          <w:p>
            <w:r>
              <w:t>NH4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17.40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>
            <w:r>
              <w:t>20.44</w:t>
            </w:r>
          </w:p>
        </w:tc>
        <w:tc>
          <w:tcPr>
            <w:tcW w:type="dxa" w:w="960"/>
          </w:tcPr>
          <w:p>
            <w:r>
              <w:t>4.63</w:t>
            </w:r>
          </w:p>
        </w:tc>
        <w:tc>
          <w:tcPr>
            <w:tcW w:type="dxa" w:w="960"/>
          </w:tcPr>
          <w:p>
            <w:r>
              <w:t>19.76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19.14</w:t>
            </w:r>
          </w:p>
        </w:tc>
      </w:tr>
      <w:tr>
        <w:tc>
          <w:tcPr>
            <w:tcW w:type="dxa" w:w="960"/>
          </w:tcPr>
          <w:p>
            <w:r>
              <w:t>Na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  <w:tr>
        <w:tc>
          <w:tcPr>
            <w:tcW w:type="dxa" w:w="960"/>
          </w:tcPr>
          <w:p>
            <w:r>
              <w:t>K</w:t>
            </w:r>
          </w:p>
        </w:tc>
        <w:tc>
          <w:tcPr>
            <w:tcW w:type="dxa" w:w="960"/>
          </w:tcPr>
          <w:p>
            <w:r>
              <w:t>0.30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Mg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</w:tr>
      <w:tr>
        <w:tc>
          <w:tcPr>
            <w:tcW w:type="dxa" w:w="960"/>
          </w:tcPr>
          <w:p>
            <w:r>
              <w:t>Ca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8.03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4.48</w:t>
            </w:r>
          </w:p>
        </w:tc>
      </w:tr>
    </w:tbl>
    <w:p>
      <w:pPr>
        <w:spacing w:line="360" w:lineRule="auto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八公山最主要的水溶性无机离子NO3⁻、SO4²⁻和NH4+浓度分别为：9.17μg/m³、7.44μg/m³、4.16μg/m³，占TWSI的38.38%，31.17%，17.40%，其余5种水溶性无机离子之和占TWSI的13.04%（图6.3-6）。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2160000" cy="22056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夏季_八公山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0566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图6.3-6 八公山PM2.5中水溶性无机离子所占的百分比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师范学院最主要的水溶性无机离子NO3⁻、SO4²⁻和NH4+浓度分别为：7.92μg/m³、5.89μg/m³、3.92μg/m³，占TWSI的41.33%，30.76%，20.44%，其余5种水溶性无机离子之和占TWSI的7.47%（图6.3-6）。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2160000" cy="21963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夏季_师范学院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9630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图6.3-6 师范学院PM2.5中水溶性无机离子所占的百分比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潘集区政府最主要的水溶性无机离子NO3⁻、SO4²⁻和NH4+浓度分别为：8.77μg/m³、8.74μg/m³、4.63μg/m³，占TWSI的37.39%，37.27%，19.76%，其余5种水溶性无机离子之和占TWSI的5.59%（图6.3-6）。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2160000" cy="22434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夏季_潘集区政府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4343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图6.3-6 潘集区政府PM2.5中水溶性无机离子所占的百分比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</w:p>
    <w:p>
      <w:pPr>
        <w:pStyle w:val="4"/>
        <w:numPr>
          <w:ilvl w:val="2"/>
          <w:numId w:val="4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1" w:name="_Toc445193736"/>
      <w:r>
        <w:rPr>
          <w:rFonts w:hint="eastAsia" w:ascii="Times New Roman" w:hAnsi="Times New Roman"/>
          <w:sz w:val="24"/>
          <w:szCs w:val="24"/>
        </w:rPr>
        <w:t>春季PM2.5中水溶性无机离子浓度特征</w:t>
      </w:r>
      <w:bookmarkEnd w:id="1"/>
    </w:p>
    <w:p>
      <w:pPr>
        <w:spacing w:line="360" w:lineRule="auto"/>
        <w:ind w:firstLine="48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八公山、师范学院、潘集区政府水溶性离子占PM2.5分别为68.37%、70.94%和70.54%（表6.3-2）。</w:t>
      </w:r>
    </w:p>
    <w:p>
      <w:pPr>
        <w:wordWrap w:val="0"/>
        <w:jc w:val="righ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表6.3-2 不同站点水溶性无机离子浓度值及在TWSI中所占百分比单位：μg/m³</w:t>
      </w:r>
    </w:p>
    <w:p/>
    <w:tbl>
      <w:tblPr>
        <w:tblStyle w:val="38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1920"/>
            <w:gridSpan w:val="2"/>
          </w:tcPr>
          <w:p>
            <w:r>
              <w:t>八公山</w:t>
            </w:r>
          </w:p>
        </w:tc>
        <w:tc>
          <w:tcPr>
            <w:tcW w:type="dxa" w:w="1920"/>
            <w:gridSpan w:val="2"/>
          </w:tcPr>
          <w:p>
            <w:r>
              <w:t>师范学院</w:t>
            </w:r>
          </w:p>
        </w:tc>
        <w:tc>
          <w:tcPr>
            <w:tcW w:type="dxa" w:w="1920"/>
            <w:gridSpan w:val="2"/>
          </w:tcPr>
          <w:p>
            <w:r>
              <w:t>潘集区政府</w:t>
            </w:r>
          </w:p>
        </w:tc>
        <w:tc>
          <w:tcPr>
            <w:tcW w:type="dxa" w:w="1920"/>
            <w:gridSpan w:val="2"/>
          </w:tcPr>
          <w:p>
            <w:r>
              <w:t>监测站点（全部）</w:t>
            </w:r>
          </w:p>
        </w:tc>
      </w:tr>
      <w:tr>
        <w:tc>
          <w:tcPr>
            <w:tcW w:type="dxa" w:w="960"/>
          </w:tcPr>
          <w:p>
            <w:r>
              <w:t>水溶性离子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</w:tr>
      <w:tr>
        <w:tc>
          <w:tcPr>
            <w:tcW w:type="dxa" w:w="960"/>
          </w:tcPr>
          <w:p>
            <w:r>
              <w:t>SO4</w:t>
            </w:r>
          </w:p>
        </w:tc>
        <w:tc>
          <w:tcPr>
            <w:tcW w:type="dxa" w:w="960"/>
          </w:tcPr>
          <w:p>
            <w:r>
              <w:t>8.11</w:t>
            </w:r>
          </w:p>
        </w:tc>
        <w:tc>
          <w:tcPr>
            <w:tcW w:type="dxa" w:w="960"/>
          </w:tcPr>
          <w:p>
            <w:r>
              <w:t>24.16</w:t>
            </w:r>
          </w:p>
        </w:tc>
        <w:tc>
          <w:tcPr>
            <w:tcW w:type="dxa" w:w="960"/>
          </w:tcPr>
          <w:p>
            <w:r>
              <w:t>8.79</w:t>
            </w:r>
          </w:p>
        </w:tc>
        <w:tc>
          <w:tcPr>
            <w:tcW w:type="dxa" w:w="960"/>
          </w:tcPr>
          <w:p>
            <w:r>
              <w:t>24.69</w:t>
            </w:r>
          </w:p>
        </w:tc>
        <w:tc>
          <w:tcPr>
            <w:tcW w:type="dxa" w:w="960"/>
          </w:tcPr>
          <w:p>
            <w:r>
              <w:t>9.27</w:t>
            </w:r>
          </w:p>
        </w:tc>
        <w:tc>
          <w:tcPr>
            <w:tcW w:type="dxa" w:w="960"/>
          </w:tcPr>
          <w:p>
            <w:r>
              <w:t>23.36</w:t>
            </w:r>
          </w:p>
        </w:tc>
        <w:tc>
          <w:tcPr>
            <w:tcW w:type="dxa" w:w="960"/>
          </w:tcPr>
          <w:p>
            <w:r>
              <w:t>8.79</w:t>
            </w:r>
          </w:p>
        </w:tc>
        <w:tc>
          <w:tcPr>
            <w:tcW w:type="dxa" w:w="960"/>
          </w:tcPr>
          <w:p>
            <w:r>
              <w:t>24.07</w:t>
            </w:r>
          </w:p>
        </w:tc>
      </w:tr>
      <w:tr>
        <w:tc>
          <w:tcPr>
            <w:tcW w:type="dxa" w:w="960"/>
          </w:tcPr>
          <w:p>
            <w:r>
              <w:t>NO3</w:t>
            </w:r>
          </w:p>
        </w:tc>
        <w:tc>
          <w:tcPr>
            <w:tcW w:type="dxa" w:w="960"/>
          </w:tcPr>
          <w:p>
            <w:r>
              <w:t>16.32</w:t>
            </w:r>
          </w:p>
        </w:tc>
        <w:tc>
          <w:tcPr>
            <w:tcW w:type="dxa" w:w="960"/>
          </w:tcPr>
          <w:p>
            <w:r>
              <w:t>48.61</w:t>
            </w:r>
          </w:p>
        </w:tc>
        <w:tc>
          <w:tcPr>
            <w:tcW w:type="dxa" w:w="960"/>
          </w:tcPr>
          <w:p>
            <w:r>
              <w:t>16.46</w:t>
            </w:r>
          </w:p>
        </w:tc>
        <w:tc>
          <w:tcPr>
            <w:tcW w:type="dxa" w:w="960"/>
          </w:tcPr>
          <w:p>
            <w:r>
              <w:t>46.22</w:t>
            </w:r>
          </w:p>
        </w:tc>
        <w:tc>
          <w:tcPr>
            <w:tcW w:type="dxa" w:w="960"/>
          </w:tcPr>
          <w:p>
            <w:r>
              <w:t>19.07</w:t>
            </w:r>
          </w:p>
        </w:tc>
        <w:tc>
          <w:tcPr>
            <w:tcW w:type="dxa" w:w="960"/>
          </w:tcPr>
          <w:p>
            <w:r>
              <w:t>48.05</w:t>
            </w:r>
          </w:p>
        </w:tc>
        <w:tc>
          <w:tcPr>
            <w:tcW w:type="dxa" w:w="960"/>
          </w:tcPr>
          <w:p>
            <w:r>
              <w:t>17.32</w:t>
            </w:r>
          </w:p>
        </w:tc>
        <w:tc>
          <w:tcPr>
            <w:tcW w:type="dxa" w:w="960"/>
          </w:tcPr>
          <w:p>
            <w:r>
              <w:t>47.44</w:t>
            </w:r>
          </w:p>
        </w:tc>
      </w:tr>
      <w:tr>
        <w:tc>
          <w:tcPr>
            <w:tcW w:type="dxa" w:w="960"/>
          </w:tcPr>
          <w:p>
            <w:r>
              <w:t>Cl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2.12</w:t>
            </w:r>
          </w:p>
        </w:tc>
      </w:tr>
      <w:tr>
        <w:tc>
          <w:tcPr>
            <w:tcW w:type="dxa" w:w="960"/>
          </w:tcPr>
          <w:p>
            <w:r>
              <w:t>NH4</w:t>
            </w:r>
          </w:p>
        </w:tc>
        <w:tc>
          <w:tcPr>
            <w:tcW w:type="dxa" w:w="960"/>
          </w:tcPr>
          <w:p>
            <w:r>
              <w:t>5.98</w:t>
            </w:r>
          </w:p>
        </w:tc>
        <w:tc>
          <w:tcPr>
            <w:tcW w:type="dxa" w:w="960"/>
          </w:tcPr>
          <w:p>
            <w:r>
              <w:t>17.80</w:t>
            </w:r>
          </w:p>
        </w:tc>
        <w:tc>
          <w:tcPr>
            <w:tcW w:type="dxa" w:w="960"/>
          </w:tcPr>
          <w:p>
            <w:r>
              <w:t>7.01</w:t>
            </w:r>
          </w:p>
        </w:tc>
        <w:tc>
          <w:tcPr>
            <w:tcW w:type="dxa" w:w="960"/>
          </w:tcPr>
          <w:p>
            <w:r>
              <w:t>19.69</w:t>
            </w:r>
          </w:p>
        </w:tc>
        <w:tc>
          <w:tcPr>
            <w:tcW w:type="dxa" w:w="960"/>
          </w:tcPr>
          <w:p>
            <w:r>
              <w:t>7.75</w:t>
            </w:r>
          </w:p>
        </w:tc>
        <w:tc>
          <w:tcPr>
            <w:tcW w:type="dxa" w:w="960"/>
          </w:tcPr>
          <w:p>
            <w:r>
              <w:t>19.53</w:t>
            </w:r>
          </w:p>
        </w:tc>
        <w:tc>
          <w:tcPr>
            <w:tcW w:type="dxa" w:w="960"/>
          </w:tcPr>
          <w:p>
            <w:r>
              <w:t>7.01</w:t>
            </w:r>
          </w:p>
        </w:tc>
        <w:tc>
          <w:tcPr>
            <w:tcW w:type="dxa" w:w="960"/>
          </w:tcPr>
          <w:p>
            <w:r>
              <w:t>19.20</w:t>
            </w:r>
          </w:p>
        </w:tc>
      </w:tr>
      <w:tr>
        <w:tc>
          <w:tcPr>
            <w:tcW w:type="dxa" w:w="960"/>
          </w:tcPr>
          <w:p>
            <w:r>
              <w:t>Na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1.32</w:t>
            </w:r>
          </w:p>
        </w:tc>
      </w:tr>
      <w:tr>
        <w:tc>
          <w:tcPr>
            <w:tcW w:type="dxa" w:w="960"/>
          </w:tcPr>
          <w:p>
            <w:r>
              <w:t>K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0.70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1.99</w:t>
            </w:r>
          </w:p>
        </w:tc>
      </w:tr>
      <w:tr>
        <w:tc>
          <w:tcPr>
            <w:tcW w:type="dxa" w:w="960"/>
          </w:tcPr>
          <w:p>
            <w:r>
              <w:t>Mg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</w:tr>
      <w:tr>
        <w:tc>
          <w:tcPr>
            <w:tcW w:type="dxa" w:w="960"/>
          </w:tcPr>
          <w:p>
            <w:r>
              <w:t>Ca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3.60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</w:tbl>
    <w:p>
      <w:pPr>
        <w:spacing w:line="360" w:lineRule="auto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八公山最主要的水溶性无机离子NO3⁻、SO4²⁻和NH4+浓度分别为：16.32μg/m³、8.11μg/m³、5.98μg/m³，占TWSI的48.61%，24.16%，17.80%，其余5种水溶性无机离子之和占TWSI的9.43%（图6.3-6）。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2160000" cy="21963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春季_八公山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9637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图6.3-6 八公山PM2.5中水溶性无机离子所占的百分比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师范学院最主要的水溶性无机离子NO3⁻、SO4²⁻和NH4+浓度分别为：16.46μg/m³、8.79μg/m³、7.01μg/m³，占TWSI的46.22%，24.69%，19.69%，其余5种水溶性无机离子之和占TWSI的9.40%（图6.3-6）。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2160000" cy="22055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春季_师范学院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0557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图6.3-6 师范学院PM2.5中水溶性无机离子所占的百分比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潘集区政府最主要的水溶性无机离子NO3⁻、SO4²⁻和NH4+浓度分别为：19.07μg/m³、9.27μg/m³、7.75μg/m³，占TWSI的48.05%，23.36%，19.53%，其余5种水溶性无机离子之和占TWSI的9.06%（图6.3-6）。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2160000" cy="22055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春季_潘集区政府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0557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图6.3-6 潘集区政府PM2.5中水溶性无机离子所占的百分比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</w:p>
    <w:p>
      <w:pPr>
        <w:pStyle w:val="4"/>
        <w:numPr>
          <w:ilvl w:val="2"/>
          <w:numId w:val="4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1" w:name="_Toc445193736"/>
      <w:r>
        <w:rPr>
          <w:rFonts w:hint="eastAsia" w:ascii="Times New Roman" w:hAnsi="Times New Roman"/>
          <w:sz w:val="24"/>
          <w:szCs w:val="24"/>
        </w:rPr>
        <w:t>秋季PM2.5中水溶性无机离子浓度特征</w:t>
      </w:r>
      <w:bookmarkEnd w:id="1"/>
    </w:p>
    <w:p>
      <w:pPr>
        <w:spacing w:line="360" w:lineRule="auto"/>
        <w:ind w:firstLine="48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八公山、师范学院、潘集区政府水溶性离子占PM2.5分别为64.91%、63.2%和58.48%（表6.3-2）。</w:t>
      </w:r>
    </w:p>
    <w:p>
      <w:pPr>
        <w:wordWrap w:val="0"/>
        <w:jc w:val="righ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表6.3-2 不同站点水溶性无机离子浓度值及在TWSI中所占百分比单位：μg/m³</w:t>
      </w:r>
    </w:p>
    <w:p/>
    <w:tbl>
      <w:tblPr>
        <w:tblStyle w:val="38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1920"/>
            <w:gridSpan w:val="2"/>
          </w:tcPr>
          <w:p>
            <w:r>
              <w:t>八公山</w:t>
            </w:r>
          </w:p>
        </w:tc>
        <w:tc>
          <w:tcPr>
            <w:tcW w:type="dxa" w:w="1920"/>
            <w:gridSpan w:val="2"/>
          </w:tcPr>
          <w:p>
            <w:r>
              <w:t>师范学院</w:t>
            </w:r>
          </w:p>
        </w:tc>
        <w:tc>
          <w:tcPr>
            <w:tcW w:type="dxa" w:w="1920"/>
            <w:gridSpan w:val="2"/>
          </w:tcPr>
          <w:p>
            <w:r>
              <w:t>潘集区政府</w:t>
            </w:r>
          </w:p>
        </w:tc>
        <w:tc>
          <w:tcPr>
            <w:tcW w:type="dxa" w:w="1920"/>
            <w:gridSpan w:val="2"/>
          </w:tcPr>
          <w:p>
            <w:r>
              <w:t>监测站点（全部）</w:t>
            </w:r>
          </w:p>
        </w:tc>
      </w:tr>
      <w:tr>
        <w:tc>
          <w:tcPr>
            <w:tcW w:type="dxa" w:w="960"/>
          </w:tcPr>
          <w:p>
            <w:r>
              <w:t>水溶性离子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  <w:tc>
          <w:tcPr>
            <w:tcW w:type="dxa" w:w="960"/>
          </w:tcPr>
          <w:p>
            <w:r>
              <w:t>平均值</w:t>
            </w:r>
          </w:p>
        </w:tc>
        <w:tc>
          <w:tcPr>
            <w:tcW w:type="dxa" w:w="960"/>
          </w:tcPr>
          <w:p>
            <w:r>
              <w:t>百分比%</w:t>
            </w:r>
          </w:p>
        </w:tc>
      </w:tr>
      <w:tr>
        <w:tc>
          <w:tcPr>
            <w:tcW w:type="dxa" w:w="960"/>
          </w:tcPr>
          <w:p>
            <w:r>
              <w:t>SO4</w:t>
            </w:r>
          </w:p>
        </w:tc>
        <w:tc>
          <w:tcPr>
            <w:tcW w:type="dxa" w:w="960"/>
          </w:tcPr>
          <w:p>
            <w:r>
              <w:t>4.61</w:t>
            </w:r>
          </w:p>
        </w:tc>
        <w:tc>
          <w:tcPr>
            <w:tcW w:type="dxa" w:w="960"/>
          </w:tcPr>
          <w:p>
            <w:r>
              <w:t>19.13</w:t>
            </w:r>
          </w:p>
        </w:tc>
        <w:tc>
          <w:tcPr>
            <w:tcW w:type="dxa" w:w="960"/>
          </w:tcPr>
          <w:p>
            <w:r>
              <w:t>5.10</w:t>
            </w:r>
          </w:p>
        </w:tc>
        <w:tc>
          <w:tcPr>
            <w:tcW w:type="dxa" w:w="960"/>
          </w:tcPr>
          <w:p>
            <w:r>
              <w:t>20.26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18.13</w:t>
            </w:r>
          </w:p>
        </w:tc>
        <w:tc>
          <w:tcPr>
            <w:tcW w:type="dxa" w:w="960"/>
          </w:tcPr>
          <w:p>
            <w:r>
              <w:t>4.59</w:t>
            </w:r>
          </w:p>
        </w:tc>
        <w:tc>
          <w:tcPr>
            <w:tcW w:type="dxa" w:w="960"/>
          </w:tcPr>
          <w:p>
            <w:r>
              <w:t>19.21</w:t>
            </w:r>
          </w:p>
        </w:tc>
      </w:tr>
      <w:tr>
        <w:tc>
          <w:tcPr>
            <w:tcW w:type="dxa" w:w="960"/>
          </w:tcPr>
          <w:p>
            <w:r>
              <w:t>NO3</w:t>
            </w:r>
          </w:p>
        </w:tc>
        <w:tc>
          <w:tcPr>
            <w:tcW w:type="dxa" w:w="960"/>
          </w:tcPr>
          <w:p>
            <w:r>
              <w:t>11.73</w:t>
            </w:r>
          </w:p>
        </w:tc>
        <w:tc>
          <w:tcPr>
            <w:tcW w:type="dxa" w:w="960"/>
          </w:tcPr>
          <w:p>
            <w:r>
              <w:t>48.72</w:t>
            </w:r>
          </w:p>
        </w:tc>
        <w:tc>
          <w:tcPr>
            <w:tcW w:type="dxa" w:w="960"/>
          </w:tcPr>
          <w:p>
            <w:r>
              <w:t>12.12</w:t>
            </w:r>
          </w:p>
        </w:tc>
        <w:tc>
          <w:tcPr>
            <w:tcW w:type="dxa" w:w="960"/>
          </w:tcPr>
          <w:p>
            <w:r>
              <w:t>48.18</w:t>
            </w:r>
          </w:p>
        </w:tc>
        <w:tc>
          <w:tcPr>
            <w:tcW w:type="dxa" w:w="960"/>
          </w:tcPr>
          <w:p>
            <w:r>
              <w:t>11.08</w:t>
            </w:r>
          </w:p>
        </w:tc>
        <w:tc>
          <w:tcPr>
            <w:tcW w:type="dxa" w:w="960"/>
          </w:tcPr>
          <w:p>
            <w:r>
              <w:t>49.51</w:t>
            </w:r>
          </w:p>
        </w:tc>
        <w:tc>
          <w:tcPr>
            <w:tcW w:type="dxa" w:w="960"/>
          </w:tcPr>
          <w:p>
            <w:r>
              <w:t>11.64</w:t>
            </w:r>
          </w:p>
        </w:tc>
        <w:tc>
          <w:tcPr>
            <w:tcW w:type="dxa" w:w="960"/>
          </w:tcPr>
          <w:p>
            <w:r>
              <w:t>48.78</w:t>
            </w:r>
          </w:p>
        </w:tc>
      </w:tr>
      <w:tr>
        <w:tc>
          <w:tcPr>
            <w:tcW w:type="dxa" w:w="960"/>
          </w:tcPr>
          <w:p>
            <w:r>
              <w:t>Cl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0.50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2.66</w:t>
            </w:r>
          </w:p>
        </w:tc>
      </w:tr>
      <w:tr>
        <w:tc>
          <w:tcPr>
            <w:tcW w:type="dxa" w:w="960"/>
          </w:tcPr>
          <w:p>
            <w:r>
              <w:t>NH4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22.04</w:t>
            </w:r>
          </w:p>
        </w:tc>
        <w:tc>
          <w:tcPr>
            <w:tcW w:type="dxa" w:w="960"/>
          </w:tcPr>
          <w:p>
            <w:r>
              <w:t>5.41</w:t>
            </w:r>
          </w:p>
        </w:tc>
        <w:tc>
          <w:tcPr>
            <w:tcW w:type="dxa" w:w="960"/>
          </w:tcPr>
          <w:p>
            <w:r>
              <w:t>21.51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21.84</w:t>
            </w:r>
          </w:p>
        </w:tc>
        <w:tc>
          <w:tcPr>
            <w:tcW w:type="dxa" w:w="960"/>
          </w:tcPr>
          <w:p>
            <w:r>
              <w:t>5.20</w:t>
            </w:r>
          </w:p>
        </w:tc>
        <w:tc>
          <w:tcPr>
            <w:tcW w:type="dxa" w:w="960"/>
          </w:tcPr>
          <w:p>
            <w:r>
              <w:t>21.79</w:t>
            </w:r>
          </w:p>
        </w:tc>
      </w:tr>
      <w:tr>
        <w:tc>
          <w:tcPr>
            <w:tcW w:type="dxa" w:w="960"/>
          </w:tcPr>
          <w:p>
            <w:r>
              <w:t>Na</w:t>
            </w:r>
          </w:p>
        </w:tc>
        <w:tc>
          <w:tcPr>
            <w:tcW w:type="dxa" w:w="960"/>
          </w:tcPr>
          <w:p>
            <w:r>
              <w:t>0.20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0.90</w:t>
            </w:r>
          </w:p>
        </w:tc>
      </w:tr>
      <w:tr>
        <w:tc>
          <w:tcPr>
            <w:tcW w:type="dxa" w:w="960"/>
          </w:tcPr>
          <w:p>
            <w:r>
              <w:t>K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0.70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Mg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</w:tr>
      <w:tr>
        <w:tc>
          <w:tcPr>
            <w:tcW w:type="dxa" w:w="960"/>
          </w:tcPr>
          <w:p>
            <w:r>
              <w:t>Ca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1.00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</w:tbl>
    <w:p>
      <w:pPr>
        <w:spacing w:line="360" w:lineRule="auto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八公山最主要的水溶性无机离子NO3⁻、SO4²⁻和NH4+浓度分别为：11.73μg/m³、4.61μg/m³、5.31μg/m³，占TWSI的48.72%，19.13%，22.04%，其余5种水溶性无机离子之和占TWSI的10.12%（图6.3-6）。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2160000" cy="22436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秋季_八公山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4361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图6.3-6 八公山PM2.5中水溶性无机离子所占的百分比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师范学院最主要的水溶性无机离子NO3⁻、SO4²⁻和NH4+浓度分别为：12.12μg/m³、5.10μg/m³、5.41μg/m³，占TWSI的48.18%，20.26%，21.51%，其余5种水溶性无机离子之和占TWSI的10.05%（图6.3-6）。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2160000" cy="22482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秋季_师范学院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4825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图6.3-6 师范学院PM2.5中水溶性无机离子所占的百分比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潘集区政府最主要的水溶性无机离子NO3⁻、SO4²⁻和NH4+浓度分别为：11.08μg/m³、4.05μg/m³、4.88μg/m³，占TWSI的49.51%，18.13%，21.84%，其余5种水溶性无机离子之和占TWSI的10.52%（图6.3-6）。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2160000" cy="22482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秋季_潘集区政府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4825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图6.3-6 潘集区政府PM2.5中水溶性无机离子所占的百分比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/>
      </w:r>
    </w:p>
    <w:p>
      <w:pPr>
        <w:spacing w:line="360" w:lineRule="auto"/>
        <w:jc w:val="left"/>
        <w:rPr>
          <w:rFonts w:hint="default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2E4F"/>
    <w:multiLevelType w:val="multilevel"/>
    <w:tmpl w:val="23802E4F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color w:val="auto"/>
        <w:sz w:val="28"/>
        <w:szCs w:val="28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1404"/>
        </w:tabs>
        <w:ind w:left="140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snapToGrid w:val="0"/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"/>
        <w:kern w:val="0"/>
        <w:position w:val="0"/>
        <w:szCs w:val="2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6500A57"/>
    <w:multiLevelType w:val="multilevel"/>
    <w:tmpl w:val="56500A5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432" w:hanging="432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980"/>
        </w:tabs>
        <w:ind w:left="1764" w:hanging="504"/>
      </w:pPr>
    </w:lvl>
    <w:lvl w:ilvl="3" w:tentative="0">
      <w:start w:val="1"/>
      <w:numFmt w:val="decimal"/>
      <w:lvlText w:val="3.2.1.%4."/>
      <w:lvlJc w:val="left"/>
      <w:pPr>
        <w:tabs>
          <w:tab w:val="left" w:pos="216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>
    <w:nsid w:val="7AB24DD9"/>
    <w:multiLevelType w:val="multilevel"/>
    <w:tmpl w:val="7AB24DD9"/>
    <w:lvl w:ilvl="0" w:tentative="0">
      <w:start w:val="1"/>
      <w:numFmt w:val="chineseCountingThousand"/>
      <w:pStyle w:val="84"/>
      <w:lvlText w:val="%1、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E0E5A"/>
    <w:multiLevelType w:val="multilevel"/>
    <w:tmpl w:val="7C9E0E5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Restart w:val="0"/>
      <w:isLgl/>
      <w:lvlText w:val="3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Restart w:val="1"/>
      <w:pStyle w:val="5"/>
      <w:lvlText w:val="3.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0C"/>
    <w:rsid w:val="005726B1"/>
    <w:rsid w:val="005B184D"/>
    <w:rsid w:val="00A63343"/>
    <w:rsid w:val="00F0010C"/>
    <w:rsid w:val="00FD7DA0"/>
    <w:rsid w:val="062A0394"/>
    <w:rsid w:val="0FCE5E75"/>
    <w:rsid w:val="12CE7EF1"/>
    <w:rsid w:val="19EA7BF1"/>
    <w:rsid w:val="1A883D1A"/>
    <w:rsid w:val="3BF77988"/>
    <w:rsid w:val="42410C89"/>
    <w:rsid w:val="458E3B8E"/>
    <w:rsid w:val="4A033B01"/>
    <w:rsid w:val="5967309A"/>
    <w:rsid w:val="59B86A35"/>
    <w:rsid w:val="602A6F79"/>
    <w:rsid w:val="60FF52D0"/>
    <w:rsid w:val="7736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99" w:name="heading 7"/>
    <w:lsdException w:qFormat="1" w:uiPriority="99" w:name="heading 8"/>
    <w:lsdException w:qFormat="1"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qFormat="1"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qFormat="1" w:uiPriority="0" w:name="Table Simple 1"/>
    <w:lsdException w:uiPriority="99" w:name="Table Simple 2"/>
    <w:lsdException w:uiPriority="99" w:name="Table Simple 3"/>
    <w:lsdException w:qFormat="1" w:uiPriority="0" w:name="Table Classic 1"/>
    <w:lsdException w:uiPriority="99" w:name="Table Classic 2"/>
    <w:lsdException w:uiPriority="99" w:name="Table Classic 3"/>
    <w:lsdException w:qFormat="1" w:uiPriority="0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iPriority="6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1"/>
    <w:semiHidden/>
    <w:unhideWhenUsed/>
    <w:qFormat/>
    <w:uiPriority w:val="9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2"/>
    <w:semiHidden/>
    <w:unhideWhenUsed/>
    <w:qFormat/>
    <w:uiPriority w:val="9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4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55"/>
    <w:semiHidden/>
    <w:unhideWhenUsed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56"/>
    <w:semiHidden/>
    <w:unhideWhenUsed/>
    <w:qFormat/>
    <w:uiPriority w:val="99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9">
    <w:name w:val="heading 8"/>
    <w:basedOn w:val="1"/>
    <w:next w:val="1"/>
    <w:link w:val="57"/>
    <w:semiHidden/>
    <w:unhideWhenUsed/>
    <w:qFormat/>
    <w:uiPriority w:val="99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10">
    <w:name w:val="heading 9"/>
    <w:basedOn w:val="1"/>
    <w:next w:val="1"/>
    <w:link w:val="58"/>
    <w:semiHidden/>
    <w:unhideWhenUsed/>
    <w:qFormat/>
    <w:uiPriority w:val="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0" w:leftChars="400" w:hanging="200" w:hangingChars="200"/>
    </w:pPr>
  </w:style>
  <w:style w:type="paragraph" w:styleId="12">
    <w:name w:val="toc 7"/>
    <w:basedOn w:val="1"/>
    <w:next w:val="1"/>
    <w:semiHidden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3">
    <w:name w:val="List Number"/>
    <w:basedOn w:val="1"/>
    <w:semiHidden/>
    <w:unhideWhenUsed/>
    <w:qFormat/>
    <w:uiPriority w:val="99"/>
  </w:style>
  <w:style w:type="paragraph" w:styleId="14">
    <w:name w:val="caption"/>
    <w:basedOn w:val="1"/>
    <w:next w:val="1"/>
    <w:link w:val="62"/>
    <w:semiHidden/>
    <w:unhideWhenUsed/>
    <w:qFormat/>
    <w:uiPriority w:val="0"/>
    <w:pPr>
      <w:widowControl/>
      <w:spacing w:line="360" w:lineRule="auto"/>
      <w:ind w:right="-42" w:rightChars="-20"/>
      <w:jc w:val="center"/>
    </w:pPr>
    <w:rPr>
      <w:rFonts w:ascii="宋体" w:hAnsi="宋体" w:eastAsiaTheme="minorEastAsia" w:cstheme="minorBidi"/>
      <w:b/>
      <w:bCs/>
      <w:lang w:bidi="en-US"/>
    </w:rPr>
  </w:style>
  <w:style w:type="paragraph" w:styleId="15">
    <w:name w:val="Document Map"/>
    <w:basedOn w:val="1"/>
    <w:link w:val="67"/>
    <w:semiHidden/>
    <w:unhideWhenUsed/>
    <w:qFormat/>
    <w:uiPriority w:val="99"/>
    <w:rPr>
      <w:rFonts w:ascii="宋体" w:hAnsi="Calibri"/>
      <w:sz w:val="18"/>
      <w:szCs w:val="18"/>
    </w:rPr>
  </w:style>
  <w:style w:type="paragraph" w:styleId="16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cstheme="majorBidi"/>
      <w:sz w:val="24"/>
    </w:rPr>
  </w:style>
  <w:style w:type="paragraph" w:styleId="17">
    <w:name w:val="annotation text"/>
    <w:basedOn w:val="1"/>
    <w:link w:val="61"/>
    <w:semiHidden/>
    <w:unhideWhenUsed/>
    <w:qFormat/>
    <w:uiPriority w:val="99"/>
    <w:pPr>
      <w:jc w:val="left"/>
    </w:pPr>
    <w:rPr>
      <w:rFonts w:ascii="Calibri" w:hAnsi="Calibri"/>
      <w:szCs w:val="22"/>
    </w:rPr>
  </w:style>
  <w:style w:type="paragraph" w:styleId="18">
    <w:name w:val="Body Text"/>
    <w:basedOn w:val="1"/>
    <w:link w:val="64"/>
    <w:semiHidden/>
    <w:unhideWhenUsed/>
    <w:qFormat/>
    <w:uiPriority w:val="99"/>
    <w:pPr>
      <w:spacing w:after="120"/>
    </w:pPr>
  </w:style>
  <w:style w:type="paragraph" w:styleId="19">
    <w:name w:val="toc 5"/>
    <w:basedOn w:val="1"/>
    <w:next w:val="1"/>
    <w:semiHidden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20">
    <w:name w:val="toc 3"/>
    <w:basedOn w:val="1"/>
    <w:next w:val="1"/>
    <w:semiHidden/>
    <w:unhideWhenUsed/>
    <w:qFormat/>
    <w:uiPriority w:val="39"/>
    <w:pPr>
      <w:ind w:left="420"/>
    </w:pPr>
  </w:style>
  <w:style w:type="paragraph" w:styleId="21">
    <w:name w:val="Plain Text"/>
    <w:basedOn w:val="1"/>
    <w:link w:val="68"/>
    <w:semiHidden/>
    <w:unhideWhenUsed/>
    <w:qFormat/>
    <w:uiPriority w:val="99"/>
    <w:rPr>
      <w:rFonts w:ascii="宋体" w:hAnsi="Courier New" w:cs="Courier New"/>
      <w:szCs w:val="21"/>
    </w:rPr>
  </w:style>
  <w:style w:type="paragraph" w:styleId="22">
    <w:name w:val="toc 8"/>
    <w:basedOn w:val="1"/>
    <w:next w:val="1"/>
    <w:semiHidden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3">
    <w:name w:val="Date"/>
    <w:basedOn w:val="1"/>
    <w:next w:val="1"/>
    <w:link w:val="65"/>
    <w:semiHidden/>
    <w:unhideWhenUsed/>
    <w:qFormat/>
    <w:uiPriority w:val="99"/>
    <w:pPr>
      <w:ind w:left="100" w:leftChars="2500"/>
    </w:pPr>
  </w:style>
  <w:style w:type="paragraph" w:styleId="24">
    <w:name w:val="Balloon Text"/>
    <w:basedOn w:val="1"/>
    <w:link w:val="70"/>
    <w:semiHidden/>
    <w:unhideWhenUsed/>
    <w:qFormat/>
    <w:uiPriority w:val="99"/>
    <w:rPr>
      <w:rFonts w:ascii="Calibri" w:hAnsi="Calibri"/>
      <w:sz w:val="18"/>
      <w:szCs w:val="18"/>
    </w:rPr>
  </w:style>
  <w:style w:type="paragraph" w:styleId="25">
    <w:name w:val="footer"/>
    <w:basedOn w:val="1"/>
    <w:link w:val="4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4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semiHidden/>
    <w:unhideWhenUsed/>
    <w:qFormat/>
    <w:uiPriority w:val="39"/>
    <w:pPr>
      <w:suppressAutoHyphens/>
      <w:spacing w:before="120" w:after="120"/>
      <w:jc w:val="left"/>
    </w:pPr>
    <w:rPr>
      <w:b/>
      <w:bCs/>
      <w:caps/>
      <w:sz w:val="20"/>
      <w:szCs w:val="20"/>
      <w:lang w:eastAsia="ar-SA"/>
    </w:rPr>
  </w:style>
  <w:style w:type="paragraph" w:styleId="28">
    <w:name w:val="toc 4"/>
    <w:basedOn w:val="1"/>
    <w:next w:val="1"/>
    <w:semiHidden/>
    <w:unhideWhenUsed/>
    <w:qFormat/>
    <w:uiPriority w:val="39"/>
    <w:pPr>
      <w:ind w:left="630"/>
    </w:pPr>
  </w:style>
  <w:style w:type="paragraph" w:styleId="29">
    <w:name w:val="footnote text"/>
    <w:basedOn w:val="1"/>
    <w:link w:val="60"/>
    <w:semiHidden/>
    <w:unhideWhenUsed/>
    <w:qFormat/>
    <w:uiPriority w:val="99"/>
    <w:pPr>
      <w:widowControl/>
      <w:suppressAutoHyphens/>
      <w:spacing w:before="60" w:after="60" w:line="260" w:lineRule="exact"/>
      <w:jc w:val="left"/>
    </w:pPr>
    <w:rPr>
      <w:rFonts w:ascii="Verdana" w:hAnsi="Verdana"/>
      <w:color w:val="FF0000"/>
      <w:sz w:val="20"/>
      <w:szCs w:val="20"/>
      <w:lang w:eastAsia="ar-SA"/>
    </w:rPr>
  </w:style>
  <w:style w:type="paragraph" w:styleId="30">
    <w:name w:val="toc 6"/>
    <w:basedOn w:val="1"/>
    <w:next w:val="1"/>
    <w:semiHidden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1">
    <w:name w:val="toc 2"/>
    <w:basedOn w:val="1"/>
    <w:next w:val="1"/>
    <w:semiHidden/>
    <w:unhideWhenUsed/>
    <w:qFormat/>
    <w:uiPriority w:val="39"/>
    <w:pPr>
      <w:ind w:left="210"/>
    </w:pPr>
  </w:style>
  <w:style w:type="paragraph" w:styleId="32">
    <w:name w:val="toc 9"/>
    <w:basedOn w:val="1"/>
    <w:next w:val="1"/>
    <w:semiHidden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333333"/>
      <w:kern w:val="0"/>
      <w:szCs w:val="21"/>
    </w:rPr>
  </w:style>
  <w:style w:type="paragraph" w:styleId="34">
    <w:name w:val="Title"/>
    <w:basedOn w:val="1"/>
    <w:link w:val="63"/>
    <w:qFormat/>
    <w:uiPriority w:val="9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35">
    <w:name w:val="annotation subject"/>
    <w:basedOn w:val="17"/>
    <w:next w:val="17"/>
    <w:link w:val="69"/>
    <w:semiHidden/>
    <w:unhideWhenUsed/>
    <w:qFormat/>
    <w:uiPriority w:val="99"/>
    <w:rPr>
      <w:b/>
      <w:bCs/>
    </w:rPr>
  </w:style>
  <w:style w:type="paragraph" w:styleId="36">
    <w:name w:val="Body Text First Indent"/>
    <w:basedOn w:val="18"/>
    <w:link w:val="66"/>
    <w:semiHidden/>
    <w:unhideWhenUsed/>
    <w:qFormat/>
    <w:uiPriority w:val="99"/>
    <w:pPr>
      <w:widowControl/>
      <w:spacing w:after="0" w:line="360" w:lineRule="auto"/>
      <w:jc w:val="left"/>
    </w:pPr>
    <w:rPr>
      <w:rFonts w:eastAsiaTheme="minorEastAsia"/>
      <w:kern w:val="0"/>
      <w:sz w:val="24"/>
      <w:szCs w:val="28"/>
      <w:lang w:bidi="en-US"/>
    </w:rPr>
  </w:style>
  <w:style w:type="table" w:styleId="38">
    <w:name w:val="Table Grid"/>
    <w:basedOn w:val="37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39">
    <w:name w:val="Table Classic 1"/>
    <w:basedOn w:val="37"/>
    <w:semiHidden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0">
    <w:name w:val="Table Classic 4"/>
    <w:basedOn w:val="37"/>
    <w:semiHidden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1">
    <w:name w:val="Table Simple 1"/>
    <w:basedOn w:val="37"/>
    <w:semiHidden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8000" w:sz="12" w:space="0"/>
        <w:bottom w:val="single" w:color="008000" w:sz="12" w:space="0"/>
      </w:tblBorders>
    </w:tbl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2">
    <w:name w:val="Light Shading"/>
    <w:basedOn w:val="37"/>
    <w:semiHidden/>
    <w:unhideWhenUsed/>
    <w:qFormat/>
    <w:uiPriority w:val="60"/>
    <w:rPr>
      <w:rFonts w:ascii="Times New Roman" w:hAnsi="Times New Roman" w:eastAsia="宋体" w:cs="Times New Roman"/>
      <w:color w:val="000000" w:themeColor="text1" w:themeShade="BF"/>
      <w:kern w:val="0"/>
      <w:sz w:val="20"/>
      <w:szCs w:val="20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44">
    <w:name w:val="FollowedHyperlink"/>
    <w:basedOn w:val="4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5">
    <w:name w:val="Hyperlink"/>
    <w:semiHidden/>
    <w:unhideWhenUsed/>
    <w:qFormat/>
    <w:uiPriority w:val="99"/>
    <w:rPr>
      <w:rFonts w:hint="default" w:ascii="Tahoma" w:hAnsi="Tahoma" w:cs="Tahoma"/>
      <w:b/>
      <w:bCs/>
      <w:color w:val="3399CC"/>
      <w:u w:val="none"/>
    </w:rPr>
  </w:style>
  <w:style w:type="character" w:styleId="46">
    <w:name w:val="annotation reference"/>
    <w:semiHidden/>
    <w:unhideWhenUsed/>
    <w:qFormat/>
    <w:uiPriority w:val="99"/>
    <w:rPr>
      <w:sz w:val="21"/>
      <w:szCs w:val="21"/>
    </w:rPr>
  </w:style>
  <w:style w:type="character" w:styleId="47">
    <w:name w:val="footnote reference"/>
    <w:semiHidden/>
    <w:unhideWhenUsed/>
    <w:qFormat/>
    <w:uiPriority w:val="99"/>
    <w:rPr>
      <w:vertAlign w:val="superscript"/>
    </w:rPr>
  </w:style>
  <w:style w:type="character" w:customStyle="1" w:styleId="48">
    <w:name w:val="页眉 字符"/>
    <w:basedOn w:val="43"/>
    <w:link w:val="26"/>
    <w:uiPriority w:val="99"/>
    <w:rPr>
      <w:sz w:val="18"/>
      <w:szCs w:val="18"/>
    </w:rPr>
  </w:style>
  <w:style w:type="character" w:customStyle="1" w:styleId="49">
    <w:name w:val="页脚 字符"/>
    <w:basedOn w:val="43"/>
    <w:link w:val="25"/>
    <w:uiPriority w:val="99"/>
    <w:rPr>
      <w:sz w:val="18"/>
      <w:szCs w:val="18"/>
    </w:rPr>
  </w:style>
  <w:style w:type="character" w:customStyle="1" w:styleId="50">
    <w:name w:val="标题 1 字符"/>
    <w:basedOn w:val="43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51">
    <w:name w:val="标题 2 字符"/>
    <w:basedOn w:val="43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52">
    <w:name w:val="标题 3 字符"/>
    <w:basedOn w:val="43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53">
    <w:name w:val="标题 4 字符"/>
    <w:basedOn w:val="43"/>
    <w:link w:val="5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54">
    <w:name w:val="标题 5 字符"/>
    <w:basedOn w:val="43"/>
    <w:link w:val="6"/>
    <w:semiHidden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55">
    <w:name w:val="标题 6 字符"/>
    <w:basedOn w:val="43"/>
    <w:link w:val="7"/>
    <w:semiHidden/>
    <w:qFormat/>
    <w:uiPriority w:val="0"/>
    <w:rPr>
      <w:rFonts w:ascii="Times New Roman" w:hAnsi="Times New Roman" w:eastAsia="宋体" w:cs="Times New Roman"/>
      <w:b/>
      <w:bCs/>
      <w:sz w:val="22"/>
    </w:rPr>
  </w:style>
  <w:style w:type="character" w:customStyle="1" w:styleId="56">
    <w:name w:val="标题 7 字符"/>
    <w:basedOn w:val="43"/>
    <w:link w:val="8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7">
    <w:name w:val="标题 8 字符"/>
    <w:basedOn w:val="43"/>
    <w:link w:val="9"/>
    <w:semiHidden/>
    <w:qFormat/>
    <w:uiPriority w:val="99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58">
    <w:name w:val="标题 9 字符"/>
    <w:basedOn w:val="43"/>
    <w:link w:val="10"/>
    <w:semiHidden/>
    <w:qFormat/>
    <w:uiPriority w:val="99"/>
    <w:rPr>
      <w:rFonts w:ascii="Arial" w:hAnsi="Arial" w:eastAsia="宋体" w:cs="Arial"/>
      <w:sz w:val="22"/>
    </w:rPr>
  </w:style>
  <w:style w:type="paragraph" w:customStyle="1" w:styleId="59">
    <w:name w:val="msonormal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333333"/>
      <w:kern w:val="0"/>
      <w:szCs w:val="21"/>
    </w:rPr>
  </w:style>
  <w:style w:type="character" w:customStyle="1" w:styleId="60">
    <w:name w:val="脚注文本 字符"/>
    <w:basedOn w:val="43"/>
    <w:link w:val="29"/>
    <w:semiHidden/>
    <w:qFormat/>
    <w:uiPriority w:val="99"/>
    <w:rPr>
      <w:rFonts w:ascii="Verdana" w:hAnsi="Verdana" w:eastAsia="宋体" w:cs="Times New Roman"/>
      <w:color w:val="FF0000"/>
      <w:sz w:val="20"/>
      <w:szCs w:val="20"/>
      <w:lang w:eastAsia="ar-SA"/>
    </w:rPr>
  </w:style>
  <w:style w:type="character" w:customStyle="1" w:styleId="61">
    <w:name w:val="批注文字 字符"/>
    <w:basedOn w:val="43"/>
    <w:link w:val="17"/>
    <w:semiHidden/>
    <w:qFormat/>
    <w:uiPriority w:val="99"/>
    <w:rPr>
      <w:rFonts w:ascii="Calibri" w:hAnsi="Calibri" w:eastAsia="宋体" w:cs="Times New Roman"/>
    </w:rPr>
  </w:style>
  <w:style w:type="character" w:customStyle="1" w:styleId="62">
    <w:name w:val="题注 字符"/>
    <w:basedOn w:val="43"/>
    <w:link w:val="14"/>
    <w:semiHidden/>
    <w:locked/>
    <w:uiPriority w:val="0"/>
    <w:rPr>
      <w:rFonts w:ascii="宋体" w:hAnsi="宋体"/>
      <w:b/>
      <w:bCs/>
      <w:szCs w:val="24"/>
      <w:lang w:bidi="en-US"/>
    </w:rPr>
  </w:style>
  <w:style w:type="character" w:customStyle="1" w:styleId="63">
    <w:name w:val="标题 字符"/>
    <w:basedOn w:val="43"/>
    <w:link w:val="34"/>
    <w:qFormat/>
    <w:uiPriority w:val="99"/>
    <w:rPr>
      <w:rFonts w:ascii="Arial" w:hAnsi="Arial" w:eastAsia="宋体" w:cs="Times New Roman"/>
      <w:b/>
      <w:bCs/>
      <w:sz w:val="32"/>
      <w:szCs w:val="32"/>
    </w:rPr>
  </w:style>
  <w:style w:type="character" w:customStyle="1" w:styleId="64">
    <w:name w:val="正文文本 字符"/>
    <w:basedOn w:val="43"/>
    <w:link w:val="1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65">
    <w:name w:val="日期 字符"/>
    <w:basedOn w:val="43"/>
    <w:link w:val="2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66">
    <w:name w:val="正文文本首行缩进 字符"/>
    <w:basedOn w:val="64"/>
    <w:link w:val="36"/>
    <w:semiHidden/>
    <w:qFormat/>
    <w:uiPriority w:val="99"/>
    <w:rPr>
      <w:rFonts w:ascii="Times New Roman" w:hAnsi="Times New Roman" w:eastAsia="宋体" w:cs="Times New Roman"/>
      <w:kern w:val="0"/>
      <w:sz w:val="24"/>
      <w:szCs w:val="28"/>
      <w:lang w:bidi="en-US"/>
    </w:rPr>
  </w:style>
  <w:style w:type="character" w:customStyle="1" w:styleId="67">
    <w:name w:val="文档结构图 字符"/>
    <w:basedOn w:val="43"/>
    <w:link w:val="15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68">
    <w:name w:val="纯文本 字符"/>
    <w:basedOn w:val="43"/>
    <w:link w:val="21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69">
    <w:name w:val="批注主题 字符"/>
    <w:basedOn w:val="61"/>
    <w:link w:val="35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0">
    <w:name w:val="批注框文本 字符"/>
    <w:basedOn w:val="43"/>
    <w:link w:val="24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71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Revision"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7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74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paragraph" w:customStyle="1" w:styleId="75">
    <w:name w:val="题注1"/>
    <w:basedOn w:val="1"/>
    <w:next w:val="1"/>
    <w:qFormat/>
    <w:uiPriority w:val="99"/>
    <w:pPr>
      <w:suppressAutoHyphens/>
    </w:pPr>
    <w:rPr>
      <w:rFonts w:ascii="Arial" w:hAnsi="Arial" w:eastAsia="黑体" w:cs="Arial"/>
      <w:sz w:val="20"/>
      <w:szCs w:val="20"/>
      <w:lang w:eastAsia="ar-SA"/>
    </w:rPr>
  </w:style>
  <w:style w:type="paragraph" w:customStyle="1" w:styleId="76">
    <w:name w:val="Style Left:  0.74 cm"/>
    <w:basedOn w:val="1"/>
    <w:qFormat/>
    <w:uiPriority w:val="99"/>
    <w:pPr>
      <w:ind w:left="420"/>
    </w:pPr>
    <w:rPr>
      <w:sz w:val="24"/>
      <w:szCs w:val="20"/>
    </w:rPr>
  </w:style>
  <w:style w:type="paragraph" w:customStyle="1" w:styleId="77">
    <w:name w:val="图表"/>
    <w:basedOn w:val="1"/>
    <w:qFormat/>
    <w:uiPriority w:val="99"/>
    <w:pPr>
      <w:jc w:val="center"/>
    </w:pPr>
    <w:rPr>
      <w:rFonts w:ascii="仿宋_GB2312" w:hAnsi="宋体" w:eastAsia="仿宋_GB2312"/>
    </w:rPr>
  </w:style>
  <w:style w:type="character" w:customStyle="1" w:styleId="78">
    <w:name w:val="样式1 Char"/>
    <w:link w:val="79"/>
    <w:qFormat/>
    <w:locked/>
    <w:uiPriority w:val="0"/>
    <w:rPr>
      <w:rFonts w:ascii="仿宋_GB2312" w:eastAsia="仿宋_GB2312"/>
      <w:color w:val="000000"/>
      <w:sz w:val="28"/>
      <w:szCs w:val="28"/>
    </w:rPr>
  </w:style>
  <w:style w:type="paragraph" w:customStyle="1" w:styleId="79">
    <w:name w:val="样式1"/>
    <w:basedOn w:val="1"/>
    <w:link w:val="78"/>
    <w:qFormat/>
    <w:uiPriority w:val="0"/>
    <w:pPr>
      <w:ind w:firstLine="560" w:firstLineChars="200"/>
    </w:pPr>
    <w:rPr>
      <w:rFonts w:ascii="仿宋_GB2312" w:eastAsia="仿宋_GB2312" w:hAnsiTheme="minorHAnsi" w:cstheme="minorBidi"/>
      <w:color w:val="000000"/>
      <w:sz w:val="28"/>
      <w:szCs w:val="28"/>
    </w:rPr>
  </w:style>
  <w:style w:type="character" w:customStyle="1" w:styleId="80">
    <w:name w:val="正文内容 Char"/>
    <w:basedOn w:val="43"/>
    <w:link w:val="81"/>
    <w:qFormat/>
    <w:locked/>
    <w:uiPriority w:val="0"/>
    <w:rPr>
      <w:rFonts w:ascii="宋体" w:hAnsi="宋体" w:eastAsia="宋体"/>
      <w:sz w:val="24"/>
    </w:rPr>
  </w:style>
  <w:style w:type="paragraph" w:customStyle="1" w:styleId="81">
    <w:name w:val="正文内容"/>
    <w:basedOn w:val="1"/>
    <w:link w:val="80"/>
    <w:qFormat/>
    <w:uiPriority w:val="0"/>
    <w:pPr>
      <w:spacing w:line="360" w:lineRule="auto"/>
      <w:ind w:firstLine="200" w:firstLineChars="200"/>
    </w:pPr>
    <w:rPr>
      <w:rFonts w:ascii="宋体" w:hAnsi="宋体" w:cstheme="minorBidi"/>
      <w:sz w:val="24"/>
      <w:szCs w:val="22"/>
    </w:rPr>
  </w:style>
  <w:style w:type="paragraph" w:customStyle="1" w:styleId="82">
    <w:name w:val="图表题"/>
    <w:basedOn w:val="14"/>
    <w:qFormat/>
    <w:uiPriority w:val="99"/>
    <w:pPr>
      <w:widowControl w:val="0"/>
      <w:ind w:right="0" w:rightChars="0"/>
    </w:pPr>
    <w:rPr>
      <w:bCs w:val="0"/>
      <w:szCs w:val="21"/>
      <w:lang w:bidi="ar-SA"/>
    </w:rPr>
  </w:style>
  <w:style w:type="character" w:customStyle="1" w:styleId="83">
    <w:name w:val="样式3 Char"/>
    <w:link w:val="84"/>
    <w:qFormat/>
    <w:locked/>
    <w:uiPriority w:val="99"/>
    <w:rPr>
      <w:rFonts w:ascii="黑体" w:eastAsia="黑体"/>
      <w:color w:val="000000"/>
      <w:sz w:val="36"/>
      <w:szCs w:val="36"/>
    </w:rPr>
  </w:style>
  <w:style w:type="paragraph" w:customStyle="1" w:styleId="84">
    <w:name w:val="样式3"/>
    <w:basedOn w:val="1"/>
    <w:link w:val="83"/>
    <w:qFormat/>
    <w:uiPriority w:val="99"/>
    <w:pPr>
      <w:numPr>
        <w:ilvl w:val="0"/>
        <w:numId w:val="3"/>
      </w:numPr>
      <w:snapToGrid w:val="0"/>
      <w:spacing w:beforeLines="50" w:line="360" w:lineRule="auto"/>
      <w:ind w:left="840"/>
    </w:pPr>
    <w:rPr>
      <w:rFonts w:ascii="黑体" w:eastAsia="黑体" w:hAnsiTheme="minorHAnsi" w:cstheme="minorBidi"/>
      <w:color w:val="000000"/>
      <w:sz w:val="36"/>
      <w:szCs w:val="36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86">
    <w:name w:val="element"/>
    <w:qFormat/>
    <w:uiPriority w:val="0"/>
    <w:rPr>
      <w:color w:val="000080"/>
    </w:rPr>
  </w:style>
  <w:style w:type="character" w:customStyle="1" w:styleId="87">
    <w:name w:val="elementon"/>
    <w:qFormat/>
    <w:uiPriority w:val="0"/>
    <w:rPr>
      <w:color w:val="FF0000"/>
    </w:rPr>
  </w:style>
  <w:style w:type="character" w:customStyle="1" w:styleId="88">
    <w:name w:val="m1"/>
    <w:qFormat/>
    <w:uiPriority w:val="0"/>
    <w:rPr>
      <w:color w:val="0000FF"/>
    </w:rPr>
  </w:style>
  <w:style w:type="character" w:customStyle="1" w:styleId="89">
    <w:name w:val="t1"/>
    <w:qFormat/>
    <w:uiPriority w:val="0"/>
    <w:rPr>
      <w:color w:val="990000"/>
    </w:rPr>
  </w:style>
  <w:style w:type="character" w:customStyle="1" w:styleId="90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91">
    <w:name w:val="pi1"/>
    <w:qFormat/>
    <w:uiPriority w:val="0"/>
    <w:rPr>
      <w:color w:val="0000FF"/>
    </w:rPr>
  </w:style>
  <w:style w:type="character" w:customStyle="1" w:styleId="92">
    <w:name w:val="ns1"/>
    <w:qFormat/>
    <w:uiPriority w:val="0"/>
    <w:rPr>
      <w:color w:val="FF0000"/>
    </w:rPr>
  </w:style>
  <w:style w:type="character" w:customStyle="1" w:styleId="93">
    <w:name w:val="tx1"/>
    <w:qFormat/>
    <w:uiPriority w:val="0"/>
    <w:rPr>
      <w:b/>
      <w:bCs/>
    </w:rPr>
  </w:style>
  <w:style w:type="character" w:customStyle="1" w:styleId="94">
    <w:name w:val="Heading 3 Char"/>
    <w:qFormat/>
    <w:uiPriority w:val="0"/>
    <w:rPr>
      <w:rFonts w:hint="default" w:ascii="Calibri" w:hAnsi="Calibri" w:eastAsia="宋体" w:cs="Calibri"/>
      <w:b/>
      <w:kern w:val="2"/>
      <w:sz w:val="32"/>
      <w:szCs w:val="32"/>
      <w:lang w:val="en-US" w:eastAsia="zh-CN" w:bidi="ar-SA"/>
    </w:rPr>
  </w:style>
  <w:style w:type="table" w:customStyle="1" w:styleId="95">
    <w:name w:val="浅色网格1"/>
    <w:basedOn w:val="37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hint="default" w:asciiTheme="majorHAnsi" w:hAnsiTheme="majorHAnsi" w:eastAsiaTheme="majorEastAsia" w:cstheme="majorBidi"/>
        <w:b/>
        <w:bCs/>
      </w:rPr>
    </w:tblStylePr>
    <w:tblStylePr w:type="lastCol">
      <w:rPr>
        <w:rFonts w:hint="default"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</w:style>
  <w:style w:type="table" w:customStyle="1" w:styleId="96">
    <w:name w:val="浅色列表1"/>
    <w:basedOn w:val="37"/>
    <w:qFormat/>
    <w:uiPriority w:val="61"/>
    <w:rPr>
      <w:rFonts w:ascii="Times New Roman" w:hAnsi="Times New Roman" w:eastAsia="宋体" w:cs="Times New Roman"/>
      <w:kern w:val="0"/>
      <w:sz w:val="20"/>
      <w:szCs w:val="20"/>
    </w:r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798</Characters>
  <Lines>6</Lines>
  <Paragraphs>1</Paragraphs>
  <TotalTime>136</TotalTime>
  <ScaleCrop>false</ScaleCrop>
  <LinksUpToDate>false</LinksUpToDate>
  <CharactersWithSpaces>937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2020-03-25T07:32:00Z</dcterms:created>
  <dc:creator>Perfect Nymo</dc:creator>
  <cp:lastModifiedBy>KLYG</cp:lastModifiedBy>
  <dcterms:modified xsi:type="dcterms:W3CDTF">2020-04-04T04:38:25Z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