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color w:val="1F3A5F"/>
          <w:sz w:val="72"/>
          <w:szCs w:val="72"/>
        </w:rPr>
        <w:t xml:space="preserve">Retomat</w:t>
      </w:r>
    </w:p>
    <w:p>
      <w:pPr>
        <w:spacing w:after="80"/>
        <w:jc w:val="center"/>
      </w:pPr>
      <w:r>
        <w:rPr>
          <w:color w:val="2E75B6"/>
          <w:sz w:val="32"/>
          <w:szCs w:val="32"/>
        </w:rPr>
        <w:t xml:space="preserve">Retention OS для iGaming</w:t>
      </w:r>
    </w:p>
    <w:p>
      <w:pPr>
        <w:spacing w:after="600"/>
        <w:jc w:val="center"/>
      </w:pPr>
      <w:r>
        <w:rPr>
          <w:color w:val="555555"/>
          <w:sz w:val="26"/>
          <w:szCs w:val="26"/>
        </w:rPr>
        <w:t xml:space="preserve">Функциональная спецификация: бизнес-логика расчёта итоговых параметров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Версия 1.0  ·  Июнь 2026</w:t>
      </w:r>
    </w:p>
    <w:p>
      <w:pPr>
        <w:jc w:val="center"/>
      </w:pPr>
      <w:r>
        <w:rPr>
          <w:i/>
          <w:iCs/>
          <w:color w:val="555555"/>
          <w:sz w:val="20"/>
          <w:szCs w:val="20"/>
        </w:rPr>
        <w:t xml:space="preserve">Документ для продуктовых, коммерческих и регуляторных стейкхолдеров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Назначение продукта</w:t>
      </w:r>
    </w:p>
    <w:p>
      <w:pPr>
        <w:spacing w:after="120" w:line="276"/>
      </w:pPr>
      <w:r>
        <w:t xml:space="preserve">Retomat — это рабочая среда (Retention OS) для управления удержанием игроков в iGaming. Продукт превращает разрозненные ручные процессы CRM-команды в единый расчётный движок: оператор задаёт базовые вводные о своей аудитории и регионе, а система автоматически проектирует параметры бонусов, турниров и программ лояльности вместе с прозрачной экономической оценкой каждой механики.</w:t>
      </w:r>
    </w:p>
    <w:p>
      <w:pPr>
        <w:spacing w:after="120" w:line="276"/>
      </w:pPr>
      <w:r>
        <w:t xml:space="preserve">Главная бизнес-ценность — предсказуемость затрат. Любая механика, которую предлагает Retomat, сопровождается оценкой ожидаемой стоимости, отношения затрат к депозитам и потенциального возврата инвестиций. Это позволяет принимать решения о промо-активностях не на интуиции, а на основе откалиброванных по рыночным бенчмаркам моделей.</w:t>
      </w:r>
    </w:p>
    <w:p>
      <w:pPr>
        <w:spacing w:after="120" w:line="276"/>
      </w:pPr>
      <w:r>
        <w:t xml:space="preserve">Документ описывает бизнес-логику пяти ключевых модулей и то, как каждый из них приходит к итоговым выдаваемым параметрам. Технические детали реализации намеренно опущены; акцент сделан на смысле расчётов и на том, какими допущениями они управляются.</w:t>
      </w:r>
    </w:p>
    <w:p>
      <w:pPr>
        <w:pStyle w:val="Heading2"/>
      </w:pPr>
      <w:r>
        <w:t xml:space="preserve">1.1. Общие входные данные</w:t>
      </w:r>
    </w:p>
    <w:p>
      <w:pPr>
        <w:spacing w:after="120" w:line="276"/>
      </w:pPr>
      <w:r>
        <w:t xml:space="preserve">Все модули отталкиваются от небольшого набора бизнес-вводных, которые описывают оператора и его аудиторию: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Регион / лицензия — </w:t>
      </w:r>
      <w:r>
        <w:t xml:space="preserve">определяет регуляторные ограничения, валюту и рыночные бенчмарки (EU/MGA, UK/UKGC, Дания/DGA, СНГ, крипто, US Sweepstakes, Монголия, LatAm).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Количество игроков — </w:t>
      </w:r>
      <w:r>
        <w:t xml:space="preserve">размер базы, на которую распространяется механика.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Средний депозит (avgdep) — </w:t>
      </w:r>
      <w:r>
        <w:t xml:space="preserve">опорная величина для расчёта размеров бонусов и порогов.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Сегмент — </w:t>
      </w:r>
      <w:r>
        <w:t xml:space="preserve">new (новые), mid (активные), vip, а также dormant и depositors для турниров.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RTP и платформа — </w:t>
      </w:r>
      <w:r>
        <w:t xml:space="preserve">влияют на отыгрываемость бонуса и на ожидаемый отклик аудитории.</w:t>
      </w:r>
    </w:p>
    <w:p>
      <w:pPr>
        <w:spacing w:after="120" w:line="276"/>
      </w:pPr>
      <w:r>
        <w:t xml:space="preserve">Из этих вводных система достраивает полную конфигурацию, применяя региональные значения по умолчанию и переопределения по лицензии.</w:t>
      </w:r>
    </w:p>
    <w:p>
      <w:pPr>
        <w:pStyle w:val="Heading2"/>
      </w:pPr>
      <w:r>
        <w:t xml:space="preserve">1.2. Карта модулей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80"/>
        <w:gridCol w:w="32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Главный итоговый результат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Bonus Configurator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Проектирование бонусной матрицы оператора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Параметры всех бонусов + модель затрат и вердикт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Campaign Generator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Сборка готовых промо-кампаний под сценарий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Механика + тексты + аудит + оптимизация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Tournament Generator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Экономика и дизайн турниров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Призовой фонд, охват, GGR-lift, ROI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Loyalty Generator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Программы лояльности (уровни/миссии)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Уровни, начисления, стоимость, retention-lift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Retention Calendar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Планирование и контроль конфликтов кампаний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Календарь всех активностей + предупреждения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Bonus Configurator</w:t>
      </w:r>
    </w:p>
    <w:p>
      <w:pPr>
        <w:spacing w:after="120" w:line="276"/>
      </w:pPr>
      <w:r>
        <w:t xml:space="preserve">Конфигуратор бонусов — ядро продукта. По базовым вводным он строит полную бонусную матрицу казино и сразу оценивает её экономику. Логика полностью детерминирована: одинаковые вводные всегда дают одинаковый результат, что важно для воспроизводимости и аудита.</w:t>
      </w:r>
    </w:p>
    <w:p>
      <w:pPr>
        <w:pStyle w:val="Heading2"/>
      </w:pPr>
      <w:r>
        <w:t xml:space="preserve">2.1. Состав бонусной матрицы</w:t>
      </w:r>
    </w:p>
    <w:p>
      <w:pPr>
        <w:spacing w:after="120" w:line="276"/>
      </w:pPr>
      <w:r>
        <w:t xml:space="preserve">Система проектирует набор взаимодополняющих механик, покрывающих весь жизненный цикл игрока — от регистрации до удержания: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260"/>
        <w:gridCol w:w="40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Механика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Роль в воронке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Как определяется размер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NDB (бездепозитный)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Снижение барьера входа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Доля от среднего депозита или фикс. сумма / фриспины, с потолком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Welcome (1-й депозит)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Конвертация в первый депозит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Процент match × депозит, ограниченный мин/макс по лицензии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2-й депозит (Dep2)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Закрепление привычки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Множитель от депозита с потолком по лицензии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3-й депозит (Dep3)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Закрепление привычки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Аналогично Dep2, с собственным вейджером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Reload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Еженедельное удержание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50% match с недельным лимитом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Cashback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Страховка от оттока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Процент от потерь (flat) или по уровням (tier)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Spins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Дополнительная вовлечённость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Количество × стоимость спина</w:t>
            </w:r>
          </w:p>
        </w:tc>
      </w:tr>
    </w:tbl>
    <w:p>
      <w:pPr>
        <w:pStyle w:val="Heading2"/>
      </w:pPr>
      <w:r>
        <w:t xml:space="preserve">2.2. Региональные значения и переопределения по лицензии</w:t>
      </w:r>
    </w:p>
    <w:p>
      <w:pPr>
        <w:spacing w:after="120" w:line="276"/>
      </w:pPr>
      <w:r>
        <w:t xml:space="preserve">Каждый регион имеет собственный набор базовых значений (проценты match, потолки, вейджеры, бенчмарки ARPU/CAC). Поверх них применяется переопределение по лицензии: например, UKGC и MGA задают более строгие лимиты на максимальный бонус и вейджер, чем офшорные юрисдикции. Так одна и та же вводная «Welcome-бонус» превращается в разные конкретные параметры в зависимости от того, под какой лицензией работает оператор.</w:t>
      </w:r>
    </w:p>
    <w:p>
      <w:pPr>
        <w:spacing w:after="120" w:line="276"/>
      </w:pPr>
      <w:r>
        <w:rPr>
          <w:b/>
          <w:bCs/>
        </w:rPr>
        <w:t xml:space="preserve">Единый вейджерный порог. </w:t>
      </w:r>
      <w:r>
        <w:t xml:space="preserve">Внутри одного региона ко всем механикам применяется согласованный вейджер (например, ×35), который при необходимости корректируется параметром риска. Это упрощает коммуникацию с игроком и снижает регуляторные претензии.</w:t>
      </w:r>
    </w:p>
    <w:p>
      <w:pPr>
        <w:pStyle w:val="Heading2"/>
      </w:pPr>
      <w:r>
        <w:t xml:space="preserve">2.3. Модель затрат: сколько реально стоит бонус</w:t>
      </w:r>
    </w:p>
    <w:p>
      <w:pPr>
        <w:spacing w:after="120" w:line="276"/>
      </w:pPr>
      <w:r>
        <w:t xml:space="preserve">Ключевая бизнес-механика конфигуратора — оценка реальной стоимости выплаты по бонусу. Номинальный размер бонуса не равен затратам: часть игроков не отыграет вейджер, часть проиграет бонусные средства до вывода. Retomat моделирует ожидаемую выплату статистически.</w:t>
      </w:r>
    </w:p>
    <w:p>
      <w:pPr>
        <w:spacing w:after="120" w:line="276"/>
      </w:pPr>
      <w:r>
        <w:rPr>
          <w:b/>
          <w:bCs/>
        </w:rPr>
        <w:t xml:space="preserve">Точка безубыточного вейджера. </w:t>
      </w:r>
      <w:r>
        <w:t xml:space="preserve">Для каждой конфигурации рассчитывается вейджер, при котором бонус в среднем полностью «съедается» оборотом и не приводит к выплате. Если назначенный вейджер выше этого порога — механика статистически прибыльна для оператора; если ниже — она щедрая и несёт выплату.</w:t>
      </w:r>
    </w:p>
    <w:p>
      <w:pPr>
        <w:spacing w:after="120" w:line="276"/>
      </w:pPr>
      <w:r>
        <w:rPr>
          <w:b/>
          <w:bCs/>
        </w:rPr>
        <w:t xml:space="preserve">Три сценария отклика. </w:t>
      </w:r>
      <w:r>
        <w:t xml:space="preserve">Каждая механика оценивается в трёх режимах конверсии аудитории, чтобы показать диапазон, а не одну точку: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760"/>
        <w:gridCol w:w="2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Доля принявших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Допущение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P10 (осторожный)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Чуть лучше RTP/WCR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Нижняя граница затрат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P50 (базовый)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Базовые рыночные значения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Опорная оценка для бюджета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P90 (агрессивный)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Чуть хуже RTP/WCR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Стресс-граница затрат</w:t>
            </w:r>
          </w:p>
        </w:tc>
      </w:tr>
    </w:tbl>
    <w:p>
      <w:pPr>
        <w:spacing w:after="120" w:line="276"/>
      </w:pPr>
      <w:r>
        <w:t xml:space="preserve">Базовый сценарий P50 служит основой для отношения затрат к депозитам, а P90 — для стресс-теста бюджета (дополнительно закладывается запас сверху).</w:t>
      </w:r>
    </w:p>
    <w:p>
      <w:pPr>
        <w:pStyle w:val="Heading2"/>
      </w:pPr>
      <w:r>
        <w:t xml:space="preserve">2.4. Итоговый вердикт по затратам</w:t>
      </w:r>
    </w:p>
    <w:p>
      <w:pPr>
        <w:spacing w:after="120" w:line="276"/>
      </w:pPr>
      <w:r>
        <w:t xml:space="preserve">Главный итоговый параметр конфигуратора — отношение совокупных бонусных затрат к объёму депозитов аудитории (cost ratio). На его основе система выдаёт цветовой вердикт, понятный без погружения в цифры: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4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Вердикт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Отношение затрат к депозитам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Бизнес-смысл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Дёшево (cheap)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10%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Очень консервативная щедрость, есть запас на агрессию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Норма (ok)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10–25%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Здоровый баланс привлечения и маржи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Внимание (warn)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25–40%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Агрессивно — требует контроля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Высоко (high)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40%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Риск убыточности промо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Максимальный риск. </w:t>
      </w:r>
      <w:r>
        <w:t xml:space="preserve">Дополнительно система показывает теоретический максимум — стоимость, если бы каждый игрок получил и вывел весь бонус. Это верхняя граница ответственности, полезная для риск-менеджмента.</w:t>
      </w:r>
    </w:p>
    <w:p>
      <w:pPr>
        <w:pStyle w:val="Heading2"/>
      </w:pPr>
      <w:r>
        <w:t xml:space="preserve">2.5. Экономические бенчмарки</w:t>
      </w:r>
    </w:p>
    <w:p>
      <w:pPr>
        <w:spacing w:after="120" w:line="276"/>
      </w:pPr>
      <w:r>
        <w:t xml:space="preserve">Параллельно с затратами конфигуратор оценивает окупаемость на основе региональных бенчмарков: ARPU (доход с игрока в месяц), CAC (стоимость привлечения), LTV за 3 месяца, маркетинговый бюджет на базу, ROI за 3 месяца и точку безубыточности в месяцах. Эти величины выражены в долларах и дают коммерческой команде быстрый ориентир рентабельности до запуска промо.</w:t>
      </w:r>
    </w:p>
    <w:p>
      <w:r>
        <w:br w:type="page"/>
      </w:r>
    </w:p>
    <w:p>
      <w:pPr>
        <w:pStyle w:val="Heading1"/>
      </w:pPr>
      <w:r>
        <w:t xml:space="preserve">3. AI Campaign Generator</w:t>
      </w:r>
    </w:p>
    <w:p>
      <w:pPr>
        <w:spacing w:after="120" w:line="276"/>
      </w:pPr>
      <w:r>
        <w:t xml:space="preserve">Генератор кампаний берёт ту же бонусную модель и упаковывает её в готовую промо-кампанию под конкретный бизнес-сценарий (запуск казино, реактивация спящих игроков, удержание после N дней неактивности и т.д.). Помимо параметров механик, он добавляет три слоя, превращающих расчёт в готовый к запуску продукт.</w:t>
      </w:r>
    </w:p>
    <w:p>
      <w:pPr>
        <w:pStyle w:val="Heading2"/>
      </w:pPr>
      <w:r>
        <w:t xml:space="preserve">3.1. Что генерируется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Механика и объяснение — </w:t>
      </w:r>
      <w:r>
        <w:t xml:space="preserve">какая комбинация бонусов выбрана под сценарий и почему, с описанием роли каждого элемента в воронке игрока.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Альтернативы — </w:t>
      </w:r>
      <w:r>
        <w:t xml:space="preserve">варианты механик, между которыми можно выбрать.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Тексты для каналов — </w:t>
      </w:r>
      <w:r>
        <w:t xml:space="preserve">готовые сообщения для push, email, SMS, Telegram и попапов (по 3 варианта на канал).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Аудит — </w:t>
      </w:r>
      <w:r>
        <w:t xml:space="preserve">проверка кампании на соответствие правилам лицензии с указанием конкретной нормы для каждой проверки.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Оптимизация — </w:t>
      </w:r>
      <w:r>
        <w:t xml:space="preserve">рекомендации по изменению параметров с указанием ожидаемого эффекта.</w:t>
      </w:r>
    </w:p>
    <w:p>
      <w:pPr>
        <w:pStyle w:val="Heading2"/>
      </w:pPr>
      <w:r>
        <w:t xml:space="preserve">3.2. Модель инкрементальной выручки</w:t>
      </w:r>
    </w:p>
    <w:p>
      <w:pPr>
        <w:spacing w:after="120" w:line="276"/>
      </w:pPr>
      <w:r>
        <w:t xml:space="preserve">Главный бизнес-вопрос кампании — насколько она поднимет выручку сверх базовой. Retomat оценивает прирост (lift) как произведение базовой эффективности сегмента на пять корректирующих факторов, отражающих качество дизайна кампании. Прирост ограничен сверху 40%, что соответствует реалистичному рыночному потолку.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60"/>
        <w:gridCol w:w="35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Фактор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отражает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Бизнес-смысл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База по сегменту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Потенциал отклика аудитории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≈ 25%, mid ≈ 18%, vip ≈ 12%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F1 — Вейджер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Соотношение вейджера и безубыточности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Более отыгрываемый бонус → выше отклик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F2 — Щедрость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Процент match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Нейтрален при 50% match, растёт к 100%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F3 — Механики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Богатство набора (NDB, Reload, FS, Cashback…)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Каждый элемент добавляет вовлечённости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F4 — RTP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Возврат игроку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Выше RTP → привлекательнее предложение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F5 — Платформа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Мобайл / десктоп / обе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Мобайл даёт небольшой бонус к отклику</w:t>
            </w:r>
          </w:p>
        </w:tc>
      </w:tr>
    </w:tbl>
    <w:p>
      <w:pPr>
        <w:spacing w:after="120" w:line="276"/>
      </w:pPr>
      <w:r>
        <w:t xml:space="preserve">Итог модели — ожидаемый процент прироста выручки и пересчитанная инкрементальная выручка кампании. Это позволяет сравнивать варианты дизайна не по «ощущению щедрости», а по прогнозируемому коммерческому эффекту.</w:t>
      </w:r>
    </w:p>
    <w:p>
      <w:r>
        <w:br w:type="page"/>
      </w:r>
    </w:p>
    <w:p>
      <w:pPr>
        <w:pStyle w:val="Heading1"/>
      </w:pPr>
      <w:r>
        <w:t xml:space="preserve">4. Tournament Generator</w:t>
      </w:r>
    </w:p>
    <w:p>
      <w:pPr>
        <w:spacing w:after="120" w:line="276"/>
      </w:pPr>
      <w:r>
        <w:t xml:space="preserve">Модуль турниров отвечает на вопрос «окупится ли турнир и каким должен быть призовой фонд». Он строит экономическую модель события на основе размера базы, выбранного сегмента, формата и длительности, и калибрует прогнозы по рыночным бенчмаркам iGaming.</w:t>
      </w:r>
    </w:p>
    <w:p>
      <w:pPr>
        <w:pStyle w:val="Heading2"/>
      </w:pPr>
      <w:r>
        <w:t xml:space="preserve">4.1. От базы игроков к участникам</w:t>
      </w:r>
    </w:p>
    <w:p>
      <w:pPr>
        <w:spacing w:after="120" w:line="276"/>
      </w:pPr>
      <w:r>
        <w:t xml:space="preserve">Сначала система оценивает, сколько игроков реально примет участие. Из всей базы выделяется доля, релевантная сегменту, а затем применяется ожидаемый процент опт-ина в зависимости от формата турнира.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60"/>
        <w:gridCol w:w="4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Сегмент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Доля базы (eligible)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Лучший сценарий применения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(вся база)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Массовые события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(новые)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Формирование первой привычки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depositors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60%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Монетизация активных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dormant (спящие)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40%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Реактивация — самый эффективный инструмент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Удержание ценных игроков</w:t>
            </w:r>
          </w:p>
        </w:tc>
      </w:tr>
    </w:tbl>
    <w:p>
      <w:pPr>
        <w:spacing w:after="120" w:line="276"/>
      </w:pPr>
      <w:r>
        <w:t xml:space="preserve">Процент участия зависит от формата: flash-турниры дают короткий всплеск с низким опт-ином, а недельные и месячные форматы — более высокий за счёт регулярных возвратов к таблице лидеров. Прогноз всегда даётся в трёх сценариях (низкий / средний / высокий).</w:t>
      </w:r>
    </w:p>
    <w:p>
      <w:pPr>
        <w:pStyle w:val="Heading2"/>
      </w:pPr>
      <w:r>
        <w:t xml:space="preserve">4.2. Прирост дохода (GGR-lift)</w:t>
      </w:r>
    </w:p>
    <w:p>
      <w:pPr>
        <w:spacing w:after="120" w:line="276"/>
      </w:pPr>
      <w:r>
        <w:t xml:space="preserve">Ключевая идея модели — считать только инкрементальный доход, то есть прирост над тем, что игроки принесли бы и без турнира. Для этого используется множитель вовлечённости: участники турнира тратят заметно больше своего обычного дневного ARPU на время события.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4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Множитель вовлечённости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Инкрементальный прирост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Flash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1.40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+40% — короткий концентрированный всплеск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1.50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+50% — умеренная ежедневная привычка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1.80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+80% — возвраты к таблице лидеров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+120% — сильнейшее формирование привычки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Multi-round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+100% — механика выбывания держит вовлечённость</w:t>
            </w:r>
          </w:p>
        </w:tc>
      </w:tr>
    </w:tbl>
    <w:p>
      <w:pPr>
        <w:spacing w:after="120" w:line="276"/>
      </w:pPr>
      <w:r>
        <w:t xml:space="preserve">Прирост рассчитывается как: число участников × дневной доход на игрока × инкрементальная часть множителя × длительность. Дополнительно учитывается пост-турнирный эффект удержания — доля участников, повысивших активность в следующие 30 дней (наиболее силён для спящих и новых игроков).</w:t>
      </w:r>
    </w:p>
    <w:p>
      <w:pPr>
        <w:pStyle w:val="Heading2"/>
      </w:pPr>
      <w:r>
        <w:t xml:space="preserve">4.3. Призовой фонд, ROI и точка безубыточности</w:t>
      </w:r>
    </w:p>
    <w:p>
      <w:pPr>
        <w:spacing w:after="120" w:line="276"/>
      </w:pPr>
      <w:r>
        <w:t xml:space="preserve">Стоимость призового фонда зависит от его модели: фиксированный фонд берётся целиком; динамический уменьшается на величину rake; гибридный учитывается частично. Из прироста дохода вычитается стоимость фонда — так получается чистая маржа в каждом из трёх сценариев.</w:t>
      </w:r>
    </w:p>
    <w:p>
      <w:pPr>
        <w:spacing w:after="120" w:line="276"/>
      </w:pPr>
      <w:r>
        <w:t xml:space="preserve">Итоговые бизнес-показатели турнира: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Чистая маржа — </w:t>
      </w:r>
      <w:r>
        <w:t xml:space="preserve">прирост GGR минус стоимость призового фонда (3 сценария).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Полная ценность — </w:t>
      </w:r>
      <w:r>
        <w:t xml:space="preserve">чистая маржа плюс эффект удержания.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ROI — </w:t>
      </w:r>
      <w:r>
        <w:t xml:space="preserve">отношение полной ценности к стоимости фонда; калибруется по рыночному диапазону (порядка 200% — реалистичный верх).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Стоимость на активного игрока и точка безубыточности — </w:t>
      </w:r>
      <w:r>
        <w:t xml:space="preserve">сколько участников нужно, чтобы прирост покрыл фонд.</w:t>
      </w:r>
    </w:p>
    <w:p>
      <w:pPr>
        <w:spacing w:after="120" w:line="276"/>
      </w:pPr>
      <w:r>
        <w:t xml:space="preserve">Модель сопровождается проверкой реалистичности: прогнозные значения сравниваются с отраслевыми бенчмарками по региону (ROI, стоимость на активного игрока, процент участия), что защищает от чрезмерно оптимистичных ожиданий.</w:t>
      </w:r>
    </w:p>
    <w:p>
      <w:pPr>
        <w:pStyle w:val="Heading2"/>
      </w:pPr>
      <w:r>
        <w:t xml:space="preserve">4.4. Рекомендация призового фонда</w:t>
      </w:r>
    </w:p>
    <w:p>
      <w:pPr>
        <w:spacing w:after="120" w:line="276"/>
      </w:pPr>
      <w:r>
        <w:t xml:space="preserve">Чтобы не задавать фонд вслепую, система предлагает стартовое значение — около 60% от прогнозируемого прироста GGR с учётом региона, сегмента, длительности и размера базы. Это даёт безопасную отправную точку, которую оператор может скорректировать.</w:t>
      </w:r>
    </w:p>
    <w:p>
      <w:r>
        <w:br w:type="page"/>
      </w:r>
    </w:p>
    <w:p>
      <w:pPr>
        <w:pStyle w:val="Heading1"/>
      </w:pPr>
      <w:r>
        <w:t xml:space="preserve">5. Loyalty Generator</w:t>
      </w:r>
    </w:p>
    <w:p>
      <w:pPr>
        <w:spacing w:after="120" w:line="276"/>
      </w:pPr>
      <w:r>
        <w:t xml:space="preserve">Модуль лояльности проектирует долгосрочную программу удержания в трёх режимах: уровни (tiers), миссии (missions) или гибрид. Он рассчитывает не только структуру наград, но и реальную стоимость программы и её влияние на удержание.</w:t>
      </w:r>
    </w:p>
    <w:p>
      <w:pPr>
        <w:pStyle w:val="Heading2"/>
      </w:pPr>
      <w:r>
        <w:t xml:space="preserve">5.1. Структура уровней</w:t>
      </w:r>
    </w:p>
    <w:p>
      <w:pPr>
        <w:spacing w:after="120" w:line="276"/>
      </w:pPr>
      <w:r>
        <w:t xml:space="preserve">Программа строится на лестнице из 3–5 уровней. Каждый уровень определяется порогом в баллах, множителем начислений, ставкой кэшбэка, ежемесячными фриспинами и процентом депозитного бонуса. Порог в баллах привязан к тому, сколько месяцев игрок должен накапливать баллы при своём среднем депозите — то есть лестница автоматически масштабируется под экономику конкретного оператора.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20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Порог (месяцев накопления)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Множитель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Депозит-бонус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Bronze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×1.00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Silver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×1.25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Gold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×1.50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Platinum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×2.00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Diamond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×2.50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</w:tr>
    </w:tbl>
    <w:p>
      <w:pPr>
        <w:spacing w:after="120" w:line="276"/>
      </w:pPr>
      <w:r>
        <w:t xml:space="preserve">Ставка кэшбэка распределяется линейно от 0 на нижнем уровне до заданного максимума на верхнем, поэтому оператор управляет щедростью одной ручкой — верхней ставкой кэшбэка.</w:t>
      </w:r>
    </w:p>
    <w:p>
      <w:pPr>
        <w:pStyle w:val="Heading2"/>
      </w:pPr>
      <w:r>
        <w:t xml:space="preserve">5.2. Баллы: начисление, погашение и breakage</w:t>
      </w:r>
    </w:p>
    <w:p>
      <w:pPr>
        <w:spacing w:after="120" w:line="276"/>
      </w:pPr>
      <w:r>
        <w:t xml:space="preserve">Игрок зарабатывает баллы за депозиты и за оборот (оборот в среднем ≈ 5× депозита). Бизнес-важная деталь — не все начисленные баллы погашаются: модель закладывает погашение около 40%, а оставшиеся 60% составляют breakage (несгораемая выгода оператора). Из этого получаются две величины: стоимость погашения (реальные затраты) и обязательства по непогашенным баллам (отложенная ответственность).</w:t>
      </w:r>
    </w:p>
    <w:p>
      <w:pPr>
        <w:pStyle w:val="Heading2"/>
      </w:pPr>
      <w:r>
        <w:t xml:space="preserve">5.3. Стоимость программы</w:t>
      </w:r>
    </w:p>
    <w:p>
      <w:pPr>
        <w:spacing w:after="120" w:line="276"/>
      </w:pPr>
      <w:r>
        <w:t xml:space="preserve">Совокупная месячная стоимость складывается из трёх частей: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Стоимость погашения баллов — </w:t>
      </w:r>
      <w:r>
        <w:t xml:space="preserve">долларовая ценность фактически погашенных баллов.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Стоимость наград по уровням — </w:t>
      </w:r>
      <w:r>
        <w:t xml:space="preserve">кэшбэк на потери и ежемесячные фриспины, взвешенные по распределению игроков между уровнями (около половины базы остаётся на Bronze).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Стоимость миссий — </w:t>
      </w:r>
      <w:r>
        <w:t xml:space="preserve">награды за выполнение, с учётом частоты (еженедельные срабатывают 4×/месяц, разовые амортизируются на 6 месяцев) и доли выполнения около 35%.</w:t>
      </w:r>
    </w:p>
    <w:p>
      <w:pPr>
        <w:spacing w:after="120" w:line="276"/>
      </w:pPr>
      <w:r>
        <w:t xml:space="preserve">Главный итог — отношение стоимости программы к месячному GGR. Оно показывает, какую долю дохода оператор возвращает игрокам ради удержания.</w:t>
      </w:r>
    </w:p>
    <w:p>
      <w:pPr>
        <w:pStyle w:val="Heading2"/>
      </w:pPr>
      <w:r>
        <w:t xml:space="preserve">5.4. Влияние на удержание и окупаемость</w:t>
      </w:r>
    </w:p>
    <w:p>
      <w:pPr>
        <w:spacing w:after="120" w:line="276"/>
      </w:pPr>
      <w:r>
        <w:t xml:space="preserve">Эффект программы оценивается через retention-lift — прирост удержания, зависящий от сегмента (vip отзывчивее новых), режима программы (гибрид сильнее, чем только уровни или только миссии), глубины лестницы и щедрости начислений. Прирост ограничен сверху 35%.</w:t>
      </w:r>
    </w:p>
    <w:p>
      <w:pPr>
        <w:spacing w:after="120" w:line="276"/>
      </w:pPr>
      <w:r>
        <w:t xml:space="preserve">На основе lift система рассчитывает дополнительную выручку за 3 месяца, ROI программы и срок окупаемости в месяцах (когда накопленный прирост покроет стоимость программы). Это переводит «мягкую» ценность лояльности в конкретные финансовые показатели.</w:t>
      </w:r>
    </w:p>
    <w:p>
      <w:r>
        <w:br w:type="page"/>
      </w:r>
    </w:p>
    <w:p>
      <w:pPr>
        <w:pStyle w:val="Heading1"/>
      </w:pPr>
      <w:r>
        <w:t xml:space="preserve">6. Retention Calendar</w:t>
      </w:r>
    </w:p>
    <w:p>
      <w:pPr>
        <w:spacing w:after="120" w:line="276"/>
      </w:pPr>
      <w:r>
        <w:t xml:space="preserve">Календарь удержания — центральный планировщик, связывающий все остальные модули. Кампании, турниры и программы лояльности, созданные в генераторах, добавляются в общий календарь, где их можно видеть, перемещать и контролировать целостно.</w:t>
      </w:r>
    </w:p>
    <w:p>
      <w:pPr>
        <w:pStyle w:val="Heading2"/>
      </w:pPr>
      <w:r>
        <w:t xml:space="preserve">6.1. Основные возможности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Единое представление — </w:t>
      </w:r>
      <w:r>
        <w:t xml:space="preserve">месяц / неделя / список всех активностей, с цветовой кодировкой по типу.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Обнаружение конфликтов — </w:t>
      </w:r>
      <w:r>
        <w:t xml:space="preserve">если две активности одного типа и сегмента пересекаются по датам, система помечает их предупреждением, предотвращая каннибализацию промо.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Перетаскивание и изменение длительности — </w:t>
      </w:r>
      <w:r>
        <w:t xml:space="preserve">перепланирование прямо на сетке.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Шаблоны и дублирование — </w:t>
      </w:r>
      <w:r>
        <w:t xml:space="preserve">повторно используемые заготовки кампаний.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Экспорт — </w:t>
      </w:r>
      <w:r>
        <w:t xml:space="preserve">выгрузка плана в CSV/JSON для отчётности и интеграций.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Создание из генераторов — </w:t>
      </w:r>
      <w:r>
        <w:t xml:space="preserve">добавление кампаний и турниров напрямую из результатов с проверкой дублей.</w:t>
      </w:r>
    </w:p>
    <w:p>
      <w:pPr>
        <w:spacing w:after="120" w:line="276"/>
      </w:pPr>
      <w:r>
        <w:t xml:space="preserve">С точки зрения бизнеса календарь обеспечивает дисциплину планирования: команда видит всю промо-нагрузку на аудиторию, избегает пересечений и поддерживает ровный ритм коммуникаций.</w:t>
      </w:r>
    </w:p>
    <w:p>
      <w:pPr>
        <w:pStyle w:val="Heading1"/>
      </w:pPr>
      <w:r>
        <w:t xml:space="preserve">7. Сводка итоговых параметров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Ключевые итоговые параметры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Bonus Configurator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Параметры всех механик, отношение затрат к депозитам, вердикт, P10/P50/P90, макс. риск, ROI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Campaign Generator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Механика, тексты по каналам, аудит по нормам, % инкрементальной выручки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Tournament Generator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Охват и участники, GGR-lift (3 сценария), призовой фонд, ROI, точка безубыточности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Loyalty Generator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Уровни и пороги, стоимость программы / GGR, обязательства, retention-lift, ROI и срок окупаемости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Retention Calendar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Сводный план активностей, предупреждения о конфликтах, экспорт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i/>
          <w:iCs/>
          <w:color w:val="555555"/>
        </w:rPr>
        <w:t xml:space="preserve">Все расчётные значения по умолчанию калибруются по рыночным бенчмаркам iGaming и пересматриваются по мере накопления данных. Модели детерминированы и воспроизводимы, что делает их пригодными для бюджетирования, риск-контроля и регуляторного аудита.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Стр.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5F" w:sz="4" w:space="4"/>
      </w:pBdr>
      <w:jc w:val="right"/>
    </w:pPr>
    <w:r>
      <w:rPr>
        <w:color w:val="555555"/>
        <w:sz w:val="16"/>
        <w:szCs w:val="16"/>
      </w:rPr>
      <w:t xml:space="preserve">Retomat · Функциональная спецификация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Retomat — Функциональная спецификация</dc:title>
  <dc:creator>Retomat</dc:creator>
  <cp:lastModifiedBy>Un-named</cp:lastModifiedBy>
  <cp:revision>1</cp:revision>
  <dcterms:created xsi:type="dcterms:W3CDTF">2026-06-02T12:20:00.333Z</dcterms:created>
  <dcterms:modified xsi:type="dcterms:W3CDTF">2026-06-02T12:20:00.345Z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