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Propuesta de hosting y dominio</w:t>
      </w:r>
    </w:p>
    <w:p>
      <w:pPr>
        <w:pStyle w:val="Subtitle"/>
      </w:pPr>
      <w:r>
        <w:t xml:space="preserve">Puesta en marcha del sistema de gestión de urbanismo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500"/>
        <w:gridCol w:w="7860"/>
      </w:tblGrid>
      <w:tr>
        <w:trPr>
          <w:cantSplit/>
        </w:trPr>
        <w:tc>
          <w:tcPr>
            <w:tcW w:w="1500" w:type="dxa"/>
            <w:tcMar>
              <w:left w:w="100" w:type="dxa"/>
              <w:right w:w="100" w:type="dxa"/>
            </w:tcMar>
          </w:tcPr>
          <w:p>
            <w:pPr>
              <w:spacing w:before="40" w:after="40"/>
            </w:pPr>
            <w:r>
              <w:rPr>
                <w:b/>
              </w:rPr>
              <w:t xml:space="preserve">Para</w:t>
            </w:r>
          </w:p>
        </w:tc>
        <w:tc>
          <w:tcPr>
            <w:tcW w:w="7860" w:type="dxa"/>
            <w:tcMar>
              <w:left w:w="100" w:type="dxa"/>
              <w:right w:w="100" w:type="dxa"/>
            </w:tcMar>
          </w:tcPr>
          <w:p>
            <w:pPr>
              <w:spacing w:before="40" w:after="40"/>
            </w:pPr>
            <w:r>
              <w:t xml:space="preserve">Balder Ingeniería y Mantenimiento SAS (NIT 901125081)</w:t>
            </w:r>
          </w:p>
        </w:tc>
      </w:tr>
      <w:tr>
        <w:trPr>
          <w:cantSplit/>
        </w:trPr>
        <w:tc>
          <w:tcPr>
            <w:tcW w:w="1500" w:type="dxa"/>
            <w:tcMar>
              <w:left w:w="100" w:type="dxa"/>
              <w:right w:w="100" w:type="dxa"/>
            </w:tcMar>
          </w:tcPr>
          <w:p>
            <w:pPr>
              <w:spacing w:before="40" w:after="40"/>
            </w:pPr>
            <w:r>
              <w:rPr>
                <w:b/>
              </w:rPr>
              <w:t xml:space="preserve">De</w:t>
            </w:r>
          </w:p>
        </w:tc>
        <w:tc>
          <w:tcPr>
            <w:tcW w:w="7860" w:type="dxa"/>
            <w:tcMar>
              <w:left w:w="100" w:type="dxa"/>
              <w:right w:w="100" w:type="dxa"/>
            </w:tcMar>
          </w:tcPr>
          <w:p>
            <w:pPr>
              <w:spacing w:before="40" w:after="40"/>
            </w:pPr>
            <w:r>
              <w:t xml:space="preserve">Víctor, desarrollador del sistema</w:t>
            </w:r>
          </w:p>
        </w:tc>
      </w:tr>
      <w:tr>
        <w:trPr>
          <w:cantSplit/>
        </w:trPr>
        <w:tc>
          <w:tcPr>
            <w:tcW w:w="1500" w:type="dxa"/>
            <w:tcMar>
              <w:left w:w="100" w:type="dxa"/>
              <w:right w:w="100" w:type="dxa"/>
            </w:tcMar>
          </w:tcPr>
          <w:p>
            <w:pPr>
              <w:spacing w:before="40" w:after="40"/>
            </w:pPr>
            <w:r>
              <w:rPr>
                <w:b/>
              </w:rPr>
              <w:t xml:space="preserve">Fecha</w:t>
            </w:r>
          </w:p>
        </w:tc>
        <w:tc>
          <w:tcPr>
            <w:tcW w:w="7860" w:type="dxa"/>
            <w:tcMar>
              <w:left w:w="100" w:type="dxa"/>
              <w:right w:w="100" w:type="dxa"/>
            </w:tcMar>
          </w:tcPr>
          <w:p>
            <w:pPr>
              <w:spacing w:before="40" w:after="40"/>
            </w:pPr>
            <w:r>
              <w:t xml:space="preserve">23/10/2026</w:t>
            </w:r>
          </w:p>
        </w:tc>
      </w:tr>
      <w:tr>
        <w:trPr>
          <w:cantSplit/>
        </w:trPr>
        <w:tc>
          <w:tcPr>
            <w:tcW w:w="1500" w:type="dxa"/>
            <w:tcMar>
              <w:left w:w="100" w:type="dxa"/>
              <w:right w:w="100" w:type="dxa"/>
            </w:tcMar>
          </w:tcPr>
          <w:p>
            <w:pPr>
              <w:spacing w:before="40" w:after="40"/>
            </w:pPr>
            <w:r>
              <w:rPr>
                <w:b/>
              </w:rPr>
              <w:t xml:space="preserve">Asunto</w:t>
            </w:r>
          </w:p>
        </w:tc>
        <w:tc>
          <w:tcPr>
            <w:tcW w:w="7860" w:type="dxa"/>
            <w:tcMar>
              <w:left w:w="100" w:type="dxa"/>
              <w:right w:w="100" w:type="dxa"/>
            </w:tcMar>
          </w:tcPr>
          <w:p>
            <w:pPr>
              <w:spacing w:before="40" w:after="40"/>
            </w:pPr>
            <w:r>
              <w:t xml:space="preserve">Opciones de servidor y dominio, costos y pasos de contratación a nombre de la empresa</w:t>
            </w:r>
          </w:p>
        </w:tc>
      </w:tr>
    </w:tbl>
    <w:p>
      <w:pPr>
        <w:spacing w:after="120"/>
      </w:pPr>
    </w:p>
    <w:p>
      <w:pPr>
        <w:pStyle w:val="Heading1"/>
        <w:keepNext/>
      </w:pPr>
      <w:r>
        <w:t xml:space="preserve">1. Resumen</w:t>
      </w:r>
    </w:p>
    <w:p>
      <w:r>
        <w:t xml:space="preserve">El sistema ya tiene construidas y probadas las funciones de las Etapas 1 y 2. Para que el equipo de Balder pueda usarlo desde cualquier lugar, falta publicarlo en internet, y para eso se necesitan dos servicios: </w:t>
      </w:r>
      <w:r>
        <w:rPr>
          <w:b/>
        </w:rPr>
        <w:t xml:space="preserve">un servidor</w:t>
      </w:r>
      <w:r>
        <w:t xml:space="preserve"> (hosting), donde el sistema queda encendido todos los días, y </w:t>
      </w:r>
      <w:r>
        <w:rPr>
          <w:b/>
        </w:rPr>
        <w:t xml:space="preserve">un dominio</w:t>
      </w:r>
      <w:r>
        <w:t xml:space="preserve">, que es la dirección web (por ejemplo, balderingenieria.com).</w:t>
      </w:r>
    </w:p>
    <w:p>
      <w:r>
        <w:t xml:space="preserve">Conforme a lo acordado en la propuesta y el presupuesto del desarrollo, estos servicios se contratan </w:t>
      </w:r>
      <w:r>
        <w:rPr>
          <w:b/>
        </w:rPr>
        <w:t xml:space="preserve">a nombre de la empresa y los asume la empresa</w:t>
      </w:r>
      <w:r>
        <w:t xml:space="preserve"> (requisito RNF-LEG-02). Es lo más conveniente para Balder: la empresa conserva la titularidad y el control en todo momento, y el desarrollador se encarga de configurarlos, instalar el sistema, asegurarlo y dejarlo funcionando.</w:t>
      </w:r>
    </w:p>
    <w:tbl>
      <w:tblPr>
        <w:tblW w:w="9360" w:type="dxa"/>
        <w:tblLayout w:type="fixed"/>
      </w:tblPr>
      <w:tblGrid>
        <w:gridCol w:w="9360"/>
      </w:tblGrid>
      <w:tr>
        <w:trPr>
          <w:cantSplit/>
        </w:trPr>
        <w:tc>
          <w:tcPr>
            <w:tcW w:w="9360" w:type="dxa"/>
            <w:tcBorders>
              <w:left w:val="single" w:sz="36" w:space="0" w:color="1F3A5F"/>
            </w:tcBorders>
            <w:shd w:val="clear" w:color="auto" w:fill="EAF1FB"/>
            <w:tcMar>
              <w:top w:w="80" w:type="dxa"/>
              <w:left w:w="180" w:type="dxa"/>
              <w:bottom w:w="80" w:type="dxa"/>
              <w:right w:w="140" w:type="dxa"/>
            </w:tcMar>
          </w:tcPr>
          <w:p>
            <w:pPr>
              <w:spacing w:before="60" w:after="60"/>
            </w:pPr>
            <w:r>
              <w:rPr>
                <w:b/>
                <w:color w:val="1F3A5F"/>
              </w:rPr>
              <w:t xml:space="preserve">Nuestra recomendación</w:t>
            </w:r>
          </w:p>
          <w:p>
            <w:pPr>
              <w:spacing w:after="60"/>
            </w:pPr>
            <w:r>
              <w:t xml:space="preserve">Opción A: servidor virtual (VPS) Hostinger KVM 2, plan de 24 meses, con el dominio balderingenieria.com.</w:t>
            </w:r>
          </w:p>
          <w:p>
            <w:pPr>
              <w:spacing w:after="60"/>
            </w:pPr>
            <w:r>
              <w:t xml:space="preserve">Costo aproximado: COP 705.594 en el primer pago y COP 99.990 en la renovación del dominio al año siguiente. Equivale a unos COP 33.600 por mes en promedio durante los dos primeros años.</w:t>
            </w:r>
          </w:p>
        </w:tc>
      </w:tr>
    </w:tbl>
    <w:p>
      <w:pPr>
        <w:spacing w:after="120"/>
      </w:pPr>
    </w:p>
    <w:p>
      <w:pPr>
        <w:keepNext/>
        <w:spacing w:after="60"/>
      </w:pPr>
      <w:r>
        <w:rPr>
          <w:b/>
        </w:rPr>
        <w:t xml:space="preserve">Lo que necesitamos de la empresa</w:t>
      </w:r>
    </w:p>
    <w:p>
      <w:pPr>
        <w:numPr>
          <w:ilvl w:val="0"/>
          <w:numId w:val="1"/>
        </w:numPr>
        <w:spacing w:after="60"/>
      </w:pPr>
      <w:r>
        <w:t xml:space="preserve">Escoger una opción de hosting y el nombre del dominio (sección 9).</w:t>
      </w:r>
    </w:p>
    <w:p>
      <w:pPr>
        <w:numPr>
          <w:ilvl w:val="0"/>
          <w:numId w:val="1"/>
        </w:numPr>
        <w:spacing w:after="60"/>
      </w:pPr>
      <w:r>
        <w:t xml:space="preserve">Designar un responsable y un correo de la empresa para crear las cuentas.</w:t>
      </w:r>
    </w:p>
    <w:p>
      <w:pPr>
        <w:numPr>
          <w:ilvl w:val="0"/>
          <w:numId w:val="1"/>
        </w:numPr>
        <w:spacing w:after="60"/>
      </w:pPr>
      <w:r>
        <w:t xml:space="preserve">Realizar el pago con la tarjeta de la empresa (o la del responsable que ella indique).</w:t>
      </w:r>
    </w:p>
    <w:p>
      <w:pPr>
        <w:numPr>
          <w:ilvl w:val="0"/>
          <w:numId w:val="1"/>
        </w:numPr>
        <w:spacing w:after="60"/>
      </w:pPr>
      <w:r>
        <w:t xml:space="preserve">Acompañar una llamada de unos 45 minutos en la que el desarrollador guía cada paso.</w:t>
      </w:r>
    </w:p>
    <w:p>
      <w:pPr>
        <w:pStyle w:val="Heading1"/>
        <w:keepNext/>
      </w:pPr>
      <w:r>
        <w:t xml:space="preserve">2. Qué necesita el sistema para publicarse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0"/>
        <w:gridCol w:w="4260"/>
        <w:gridCol w:w="3400"/>
      </w:tblGrid>
      <w:tr>
        <w:trPr>
          <w:cantSplit/>
          <w:tblHeader/>
        </w:trPr>
        <w:tc>
          <w:tcPr>
            <w:tcW w:w="1700" w:type="dxa"/>
            <w:shd w:val="clear" w:color="auto" w:fill="D9E2F3"/>
            <w:tcMar>
              <w:left w:w="100" w:type="dxa"/>
              <w:right w:w="100" w:type="dxa"/>
            </w:tcMar>
          </w:tcPr>
          <w:p>
            <w:pPr>
              <w:spacing w:before="40" w:after="40"/>
            </w:pPr>
            <w:r>
              <w:rPr>
                <w:b/>
              </w:rPr>
              <w:t xml:space="preserve">Pieza</w:t>
            </w:r>
          </w:p>
        </w:tc>
        <w:tc>
          <w:tcPr>
            <w:tcW w:w="4260" w:type="dxa"/>
            <w:shd w:val="clear" w:color="auto" w:fill="D9E2F3"/>
            <w:tcMar>
              <w:left w:w="100" w:type="dxa"/>
              <w:right w:w="100" w:type="dxa"/>
            </w:tcMar>
          </w:tcPr>
          <w:p>
            <w:pPr>
              <w:spacing w:before="40" w:after="40"/>
            </w:pPr>
            <w:r>
              <w:rPr>
                <w:b/>
              </w:rPr>
              <w:t xml:space="preserve">Para qué sirve</w:t>
            </w:r>
          </w:p>
        </w:tc>
        <w:tc>
          <w:tcPr>
            <w:tcW w:w="3400" w:type="dxa"/>
            <w:shd w:val="clear" w:color="auto" w:fill="D9E2F3"/>
            <w:tcMar>
              <w:left w:w="100" w:type="dxa"/>
              <w:right w:w="100" w:type="dxa"/>
            </w:tcMar>
          </w:tcPr>
          <w:p>
            <w:pPr>
              <w:spacing w:before="40" w:after="40"/>
            </w:pPr>
            <w:r>
              <w:rPr>
                <w:b/>
              </w:rPr>
              <w:t xml:space="preserve">Requisito del proyecto</w:t>
            </w:r>
          </w:p>
        </w:tc>
      </w:tr>
      <w:tr>
        <w:trPr>
          <w:cantSplit/>
        </w:trPr>
        <w:tc>
          <w:tcPr>
            <w:tcW w:w="1700" w:type="dxa"/>
            <w:tcMar>
              <w:left w:w="100" w:type="dxa"/>
              <w:right w:w="100" w:type="dxa"/>
            </w:tcMar>
          </w:tcPr>
          <w:p>
            <w:pPr>
              <w:spacing w:before="40" w:after="40"/>
            </w:pPr>
            <w:r>
              <w:rPr>
                <w:b/>
              </w:rPr>
              <w:t xml:space="preserve">Dominio</w:t>
            </w:r>
          </w:p>
        </w:tc>
        <w:tc>
          <w:tcPr>
            <w:tcW w:w="4260" w:type="dxa"/>
            <w:tcMar>
              <w:left w:w="100" w:type="dxa"/>
              <w:right w:w="100" w:type="dxa"/>
            </w:tcMar>
          </w:tcPr>
          <w:p>
            <w:pPr>
              <w:spacing w:before="40" w:after="40"/>
            </w:pPr>
            <w:r>
              <w:t xml:space="preserve">La dirección web de la empresa y el candado de seguridad (HTTPS).</w:t>
            </w:r>
          </w:p>
        </w:tc>
        <w:tc>
          <w:tcPr>
            <w:tcW w:w="3400" w:type="dxa"/>
            <w:tcMar>
              <w:left w:w="100" w:type="dxa"/>
              <w:right w:w="100" w:type="dxa"/>
            </w:tcMar>
          </w:tcPr>
          <w:p>
            <w:pPr>
              <w:spacing w:before="40" w:after="40"/>
            </w:pPr>
            <w:r>
              <w:t xml:space="preserve">A nombre de la empresa (RNF-LEG-02).</w:t>
            </w:r>
          </w:p>
        </w:tc>
      </w:tr>
      <w:tr>
        <w:trPr>
          <w:cantSplit/>
        </w:trPr>
        <w:tc>
          <w:tcPr>
            <w:tcW w:w="1700" w:type="dxa"/>
            <w:tcMar>
              <w:left w:w="100" w:type="dxa"/>
              <w:right w:w="100" w:type="dxa"/>
            </w:tcMar>
          </w:tcPr>
          <w:p>
            <w:pPr>
              <w:spacing w:before="40" w:after="40"/>
            </w:pPr>
            <w:r>
              <w:rPr>
                <w:b/>
              </w:rPr>
              <w:t xml:space="preserve">Servidor</w:t>
            </w:r>
          </w:p>
        </w:tc>
        <w:tc>
          <w:tcPr>
            <w:tcW w:w="4260" w:type="dxa"/>
            <w:tcMar>
              <w:left w:w="100" w:type="dxa"/>
              <w:right w:w="100" w:type="dxa"/>
            </w:tcMar>
          </w:tcPr>
          <w:p>
            <w:pPr>
              <w:spacing w:before="40" w:after="40"/>
            </w:pPr>
            <w:r>
              <w:t xml:space="preserve">El computador en internet donde corre el sistema, incluidos los recordatorios automáticos de las 8:00 a. m.</w:t>
            </w:r>
          </w:p>
        </w:tc>
        <w:tc>
          <w:tcPr>
            <w:tcW w:w="3400" w:type="dxa"/>
            <w:tcMar>
              <w:left w:w="100" w:type="dxa"/>
              <w:right w:w="100" w:type="dxa"/>
            </w:tcMar>
          </w:tcPr>
          <w:p>
            <w:pPr>
              <w:spacing w:before="40" w:after="40"/>
            </w:pPr>
            <w:r>
              <w:t xml:space="preserve">Encendido todos los días, con disponibilidad de 99 % mensual (RNF-DIS-01).</w:t>
            </w:r>
          </w:p>
        </w:tc>
      </w:tr>
      <w:tr>
        <w:trPr>
          <w:cantSplit/>
        </w:trPr>
        <w:tc>
          <w:tcPr>
            <w:tcW w:w="1700" w:type="dxa"/>
            <w:tcMar>
              <w:left w:w="100" w:type="dxa"/>
              <w:right w:w="100" w:type="dxa"/>
            </w:tcMar>
          </w:tcPr>
          <w:p>
            <w:pPr>
              <w:spacing w:before="40" w:after="40"/>
            </w:pPr>
            <w:r>
              <w:rPr>
                <w:b/>
              </w:rPr>
              <w:t xml:space="preserve">Base de datos</w:t>
            </w:r>
          </w:p>
        </w:tc>
        <w:tc>
          <w:tcPr>
            <w:tcW w:w="4260" w:type="dxa"/>
            <w:tcMar>
              <w:left w:w="100" w:type="dxa"/>
              <w:right w:w="100" w:type="dxa"/>
            </w:tcMar>
          </w:tcPr>
          <w:p>
            <w:pPr>
              <w:spacing w:before="40" w:after="40"/>
            </w:pPr>
            <w:r>
              <w:t xml:space="preserve">Donde se guardan clientes, ventas, abonos y recibos.</w:t>
            </w:r>
          </w:p>
        </w:tc>
        <w:tc>
          <w:tcPr>
            <w:tcW w:w="3400" w:type="dxa"/>
            <w:tcMar>
              <w:left w:w="100" w:type="dxa"/>
              <w:right w:w="100" w:type="dxa"/>
            </w:tcMar>
          </w:tcPr>
          <w:p>
            <w:pPr>
              <w:spacing w:before="40" w:after="40"/>
            </w:pPr>
            <w:r>
              <w:t xml:space="preserve">PostgreSQL.</w:t>
            </w:r>
          </w:p>
        </w:tc>
      </w:tr>
      <w:tr>
        <w:trPr>
          <w:cantSplit/>
        </w:trPr>
        <w:tc>
          <w:tcPr>
            <w:tcW w:w="1700" w:type="dxa"/>
            <w:tcMar>
              <w:left w:w="100" w:type="dxa"/>
              <w:right w:w="100" w:type="dxa"/>
            </w:tcMar>
          </w:tcPr>
          <w:p>
            <w:pPr>
              <w:spacing w:before="40" w:after="40"/>
            </w:pPr>
            <w:r>
              <w:rPr>
                <w:b/>
              </w:rPr>
              <w:t xml:space="preserve">Archivos</w:t>
            </w:r>
          </w:p>
        </w:tc>
        <w:tc>
          <w:tcPr>
            <w:tcW w:w="4260" w:type="dxa"/>
            <w:tcMar>
              <w:left w:w="100" w:type="dxa"/>
              <w:right w:w="100" w:type="dxa"/>
            </w:tcMar>
          </w:tcPr>
          <w:p>
            <w:pPr>
              <w:spacing w:before="40" w:after="40"/>
            </w:pPr>
            <w:r>
              <w:t xml:space="preserve">Soportes de pago y documentos firmados.</w:t>
            </w:r>
          </w:p>
        </w:tc>
        <w:tc>
          <w:tcPr>
            <w:tcW w:w="3400" w:type="dxa"/>
            <w:tcMar>
              <w:left w:w="100" w:type="dxa"/>
              <w:right w:w="100" w:type="dxa"/>
            </w:tcMar>
          </w:tcPr>
          <w:p>
            <w:pPr>
              <w:spacing w:before="40" w:after="40"/>
            </w:pPr>
            <w:r>
              <w:t xml:space="preserve">Se descargan solo con sesión iniciada y permiso.</w:t>
            </w:r>
          </w:p>
        </w:tc>
      </w:tr>
      <w:tr>
        <w:trPr>
          <w:cantSplit/>
        </w:trPr>
        <w:tc>
          <w:tcPr>
            <w:tcW w:w="1700" w:type="dxa"/>
            <w:tcMar>
              <w:left w:w="100" w:type="dxa"/>
              <w:right w:w="100" w:type="dxa"/>
            </w:tcMar>
          </w:tcPr>
          <w:p>
            <w:pPr>
              <w:spacing w:before="40" w:after="40"/>
            </w:pPr>
            <w:r>
              <w:rPr>
                <w:b/>
              </w:rPr>
              <w:t xml:space="preserve">Copias de seguridad</w:t>
            </w:r>
          </w:p>
        </w:tc>
        <w:tc>
          <w:tcPr>
            <w:tcW w:w="4260" w:type="dxa"/>
            <w:tcMar>
              <w:left w:w="100" w:type="dxa"/>
              <w:right w:w="100" w:type="dxa"/>
            </w:tcMar>
          </w:tcPr>
          <w:p>
            <w:pPr>
              <w:spacing w:before="40" w:after="40"/>
            </w:pPr>
            <w:r>
              <w:t xml:space="preserve">Copia diaria de la base de datos y los archivos, fuera del servidor.</w:t>
            </w:r>
          </w:p>
        </w:tc>
        <w:tc>
          <w:tcPr>
            <w:tcW w:w="3400" w:type="dxa"/>
            <w:tcMar>
              <w:left w:w="100" w:type="dxa"/>
              <w:right w:w="100" w:type="dxa"/>
            </w:tcMar>
          </w:tcPr>
          <w:p>
            <w:pPr>
              <w:spacing w:before="40" w:after="40"/>
            </w:pPr>
            <w:r>
              <w:t xml:space="preserve">Conservadas 30 días y con prueba de restauración (RNF-DIS-02).</w:t>
            </w:r>
          </w:p>
        </w:tc>
      </w:tr>
      <w:tr>
        <w:trPr>
          <w:cantSplit/>
        </w:trPr>
        <w:tc>
          <w:tcPr>
            <w:tcW w:w="1700" w:type="dxa"/>
            <w:tcMar>
              <w:left w:w="100" w:type="dxa"/>
              <w:right w:w="100" w:type="dxa"/>
            </w:tcMar>
          </w:tcPr>
          <w:p>
            <w:pPr>
              <w:spacing w:before="40" w:after="40"/>
            </w:pPr>
            <w:r>
              <w:rPr>
                <w:b/>
              </w:rPr>
              <w:t xml:space="preserve">Correo de avisos</w:t>
            </w:r>
          </w:p>
        </w:tc>
        <w:tc>
          <w:tcPr>
            <w:tcW w:w="4260" w:type="dxa"/>
            <w:tcMar>
              <w:left w:w="100" w:type="dxa"/>
              <w:right w:w="100" w:type="dxa"/>
            </w:tcMar>
          </w:tcPr>
          <w:p>
            <w:pPr>
              <w:spacing w:before="40" w:after="40"/>
            </w:pPr>
            <w:r>
              <w:t xml:space="preserve">Envío de recibos, recordatorios y avisos a los clientes.</w:t>
            </w:r>
          </w:p>
        </w:tc>
        <w:tc>
          <w:tcPr>
            <w:tcW w:w="3400" w:type="dxa"/>
            <w:tcMar>
              <w:left w:w="100" w:type="dxa"/>
              <w:right w:w="100" w:type="dxa"/>
            </w:tcMar>
          </w:tcPr>
          <w:p>
            <w:pPr>
              <w:spacing w:before="40" w:after="40"/>
            </w:pPr>
            <w:r>
              <w:t xml:space="preserve">Ya probado; falta la cuenta definitiva de la empresa.</w:t>
            </w:r>
          </w:p>
        </w:tc>
      </w:tr>
    </w:tbl>
    <w:p>
      <w:pPr>
        <w:spacing w:after="120"/>
      </w:pPr>
    </w:p>
    <w:p>
      <w:pPr>
        <w:pStyle w:val="Heading1"/>
        <w:keepNext/>
      </w:pPr>
      <w:r>
        <w:t xml:space="preserve">3. Responsabilidades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680"/>
        <w:gridCol w:w="4680"/>
      </w:tblGrid>
      <w:tr>
        <w:trPr>
          <w:cantSplit/>
          <w:tblHeader/>
        </w:trPr>
        <w:tc>
          <w:tcPr>
            <w:tcW w:w="4680" w:type="dxa"/>
            <w:shd w:val="clear" w:color="auto" w:fill="D9E2F3"/>
            <w:tcMar>
              <w:left w:w="100" w:type="dxa"/>
              <w:right w:w="100" w:type="dxa"/>
            </w:tcMar>
          </w:tcPr>
          <w:p>
            <w:pPr>
              <w:spacing w:before="40" w:after="40"/>
            </w:pPr>
            <w:r>
              <w:rPr>
                <w:b/>
              </w:rPr>
              <w:t xml:space="preserve">La empresa</w:t>
            </w:r>
          </w:p>
        </w:tc>
        <w:tc>
          <w:tcPr>
            <w:tcW w:w="4680" w:type="dxa"/>
            <w:shd w:val="clear" w:color="auto" w:fill="D9E2F3"/>
            <w:tcMar>
              <w:left w:w="100" w:type="dxa"/>
              <w:right w:w="100" w:type="dxa"/>
            </w:tcMar>
          </w:tcPr>
          <w:p>
            <w:pPr>
              <w:spacing w:before="40" w:after="40"/>
            </w:pPr>
            <w:r>
              <w:rPr>
                <w:b/>
              </w:rPr>
              <w:t xml:space="preserve">El desarrollador</w:t>
            </w:r>
          </w:p>
        </w:tc>
      </w:tr>
      <w:tr>
        <w:trPr>
          <w:cantSplit/>
        </w:trPr>
        <w:tc>
          <w:tcPr>
            <w:tcW w:w="4680" w:type="dxa"/>
            <w:tcMar>
              <w:left w:w="100" w:type="dxa"/>
              <w:right w:w="100" w:type="dxa"/>
            </w:tcMar>
          </w:tcPr>
          <w:p>
            <w:pPr>
              <w:spacing w:before="40" w:after="40"/>
            </w:pPr>
            <w:r>
              <w:t xml:space="preserve">• Crear las cuentas de hosting y dominio con un correo de la empresa.</w:t>
            </w:r>
          </w:p>
          <w:p>
            <w:pPr>
              <w:spacing w:before="40" w:after="40"/>
            </w:pPr>
            <w:r>
              <w:t xml:space="preserve">• Pagar el hosting, el dominio y sus renovaciones. Es un costo recurrente, aparte del presupuesto del desarrollo.</w:t>
            </w:r>
          </w:p>
          <w:p>
            <w:pPr>
              <w:spacing w:before="40" w:after="40"/>
            </w:pPr>
            <w:r>
              <w:t xml:space="preserve">• Conservar la titularidad y activar la verificación en dos pasos.</w:t>
            </w:r>
          </w:p>
          <w:p>
            <w:pPr>
              <w:spacing w:before="40" w:after="40"/>
            </w:pPr>
            <w:r>
              <w:t xml:space="preserve">• Crear la cuenta de correo para los avisos.</w:t>
            </w:r>
          </w:p>
          <w:p>
            <w:pPr>
              <w:spacing w:before="40" w:after="40"/>
            </w:pPr>
            <w:r>
              <w:t xml:space="preserve">• Entregar los datos pendientes: logo, cuentas de recaudo y lista de proyectos.</w:t>
            </w:r>
          </w:p>
        </w:tc>
        <w:tc>
          <w:tcPr>
            <w:tcW w:w="4680" w:type="dxa"/>
            <w:tcMar>
              <w:left w:w="100" w:type="dxa"/>
              <w:right w:w="100" w:type="dxa"/>
            </w:tcMar>
          </w:tcPr>
          <w:p>
            <w:pPr>
              <w:spacing w:before="40" w:after="40"/>
            </w:pPr>
            <w:r>
              <w:t xml:space="preserve">• Acompañar paso a paso la contratación, en una llamada.</w:t>
            </w:r>
          </w:p>
          <w:p>
            <w:pPr>
              <w:spacing w:before="40" w:after="40"/>
            </w:pPr>
            <w:r>
              <w:t xml:space="preserve">• Configurar el servidor: HTTPS, cortafuegos y actualizaciones de seguridad.</w:t>
            </w:r>
          </w:p>
          <w:p>
            <w:pPr>
              <w:spacing w:before="40" w:after="40"/>
            </w:pPr>
            <w:r>
              <w:t xml:space="preserve">• Instalar el sistema, crear el primer usuario gerente y cargar la información.</w:t>
            </w:r>
          </w:p>
          <w:p>
            <w:pPr>
              <w:spacing w:before="40" w:after="40"/>
            </w:pPr>
            <w:r>
              <w:t xml:space="preserve">• Programar las copias de seguridad y probar que se pueden restaurar.</w:t>
            </w:r>
          </w:p>
          <w:p>
            <w:pPr>
              <w:spacing w:before="40" w:after="40"/>
            </w:pPr>
            <w:r>
              <w:t xml:space="preserve">• Medir el rendimiento en producción.</w:t>
            </w:r>
          </w:p>
          <w:p>
            <w:pPr>
              <w:spacing w:before="40" w:after="40"/>
            </w:pPr>
            <w:r>
              <w:t xml:space="preserve">• No pedir ni guardar las contraseñas de la empresa: se trabaja con accesos propios que la empresa puede revocar cuando quiera.</w:t>
            </w:r>
          </w:p>
        </w:tc>
      </w:tr>
    </w:tbl>
    <w:p>
      <w:pPr>
        <w:spacing w:after="120"/>
      </w:pPr>
    </w:p>
    <w:p>
      <w:pPr>
        <w:pStyle w:val="Heading1"/>
        <w:keepNext/>
      </w:pPr>
      <w:r>
        <w:t xml:space="preserve">4. Opciones de hosting</w:t>
      </w:r>
    </w:p>
    <w:p>
      <w:pPr>
        <w:pStyle w:val="Heading2"/>
        <w:keepNext/>
      </w:pPr>
      <w:r>
        <w:t xml:space="preserve">Opción A. Servidor virtual (VPS) en Hostinger · Recomendada</w:t>
      </w:r>
    </w:p>
    <w:p>
      <w:r>
        <w:t xml:space="preserve">Un servidor virtual propio, siempre encendido, donde se instala todo el sistema (aplicación, base de datos y pantallas). Es la opción con mejor relación entre costo y capacidad para el tamaño de Balder (unos 60 clientes con saldo y pocos usuarios internos). Precios en pesos colombianos por mes, según las capturas del Anexo (23/10/2026):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0"/>
        <w:gridCol w:w="2760"/>
        <w:gridCol w:w="1000"/>
        <w:gridCol w:w="1200"/>
        <w:gridCol w:w="1200"/>
        <w:gridCol w:w="1500"/>
      </w:tblGrid>
      <w:tr>
        <w:trPr>
          <w:cantSplit/>
          <w:tblHeader/>
        </w:trPr>
        <w:tc>
          <w:tcPr>
            <w:tcW w:w="1700" w:type="dxa"/>
            <w:shd w:val="clear" w:color="auto" w:fill="D9E2F3"/>
            <w:tcMar>
              <w:left w:w="100" w:type="dxa"/>
              <w:right w:w="100" w:type="dxa"/>
            </w:tcMar>
          </w:tcPr>
          <w:p>
            <w:pPr>
              <w:spacing w:before="40" w:after="40"/>
            </w:pPr>
            <w:r>
              <w:rPr>
                <w:b/>
              </w:rPr>
              <w:t xml:space="preserve">Plan</w:t>
            </w:r>
          </w:p>
        </w:tc>
        <w:tc>
          <w:tcPr>
            <w:tcW w:w="2760" w:type="dxa"/>
            <w:shd w:val="clear" w:color="auto" w:fill="D9E2F3"/>
            <w:tcMar>
              <w:left w:w="100" w:type="dxa"/>
              <w:right w:w="100" w:type="dxa"/>
            </w:tcMar>
          </w:tcPr>
          <w:p>
            <w:pPr>
              <w:spacing w:before="40" w:after="40"/>
            </w:pPr>
            <w:r>
              <w:rPr>
                <w:b/>
              </w:rPr>
              <w:t xml:space="preserve">Recursos</w:t>
            </w:r>
          </w:p>
        </w:tc>
        <w:tc>
          <w:tcPr>
            <w:tcW w:w="1000" w:type="dxa"/>
            <w:shd w:val="clear" w:color="auto" w:fill="D9E2F3"/>
            <w:tcMar>
              <w:left w:w="100" w:type="dxa"/>
              <w:right w:w="100" w:type="dxa"/>
            </w:tcMar>
          </w:tcPr>
          <w:p>
            <w:pPr>
              <w:spacing w:before="40" w:after="40"/>
            </w:pPr>
            <w:r>
              <w:rPr>
                <w:b/>
              </w:rPr>
              <w:t xml:space="preserve">1 mes</w:t>
            </w:r>
          </w:p>
        </w:tc>
        <w:tc>
          <w:tcPr>
            <w:tcW w:w="1200" w:type="dxa"/>
            <w:shd w:val="clear" w:color="auto" w:fill="D9E2F3"/>
            <w:tcMar>
              <w:left w:w="100" w:type="dxa"/>
              <w:right w:w="100" w:type="dxa"/>
            </w:tcMar>
          </w:tcPr>
          <w:p>
            <w:pPr>
              <w:spacing w:before="40" w:after="40"/>
            </w:pPr>
            <w:r>
              <w:rPr>
                <w:b/>
              </w:rPr>
              <w:t xml:space="preserve">12 meses</w:t>
            </w:r>
          </w:p>
        </w:tc>
        <w:tc>
          <w:tcPr>
            <w:tcW w:w="1200" w:type="dxa"/>
            <w:shd w:val="clear" w:color="auto" w:fill="D9E2F3"/>
            <w:tcMar>
              <w:left w:w="100" w:type="dxa"/>
              <w:right w:w="100" w:type="dxa"/>
            </w:tcMar>
          </w:tcPr>
          <w:p>
            <w:pPr>
              <w:spacing w:before="40" w:after="40"/>
            </w:pPr>
            <w:r>
              <w:rPr>
                <w:b/>
              </w:rPr>
              <w:t xml:space="preserve">24 meses</w:t>
            </w:r>
          </w:p>
        </w:tc>
        <w:tc>
          <w:tcPr>
            <w:tcW w:w="1500" w:type="dxa"/>
            <w:shd w:val="clear" w:color="auto" w:fill="D9E2F3"/>
            <w:tcMar>
              <w:left w:w="100" w:type="dxa"/>
              <w:right w:w="100" w:type="dxa"/>
            </w:tcMar>
          </w:tcPr>
          <w:p>
            <w:pPr>
              <w:spacing w:before="40" w:after="40"/>
            </w:pPr>
            <w:r>
              <w:rPr>
                <w:b/>
              </w:rPr>
              <w:t xml:space="preserve">Renovación (24 m)</w:t>
            </w:r>
          </w:p>
        </w:tc>
      </w:tr>
      <w:tr>
        <w:trPr>
          <w:cantSplit/>
        </w:trPr>
        <w:tc>
          <w:tcPr>
            <w:tcW w:w="1700" w:type="dxa"/>
            <w:tcMar>
              <w:left w:w="100" w:type="dxa"/>
              <w:right w:w="100" w:type="dxa"/>
            </w:tcMar>
          </w:tcPr>
          <w:p>
            <w:pPr>
              <w:spacing w:before="40" w:after="40"/>
            </w:pPr>
            <w:r>
              <w:rPr>
                <w:b/>
              </w:rPr>
              <w:t xml:space="preserve">KVM 1</w:t>
            </w:r>
          </w:p>
        </w:tc>
        <w:tc>
          <w:tcPr>
            <w:tcW w:w="2760" w:type="dxa"/>
            <w:tcMar>
              <w:left w:w="100" w:type="dxa"/>
              <w:right w:w="100" w:type="dxa"/>
            </w:tcMar>
          </w:tcPr>
          <w:p>
            <w:pPr>
              <w:spacing w:before="40" w:after="40"/>
            </w:pPr>
            <w:r>
              <w:t xml:space="preserve">1 vCPU · 4 GB RAM · 50 GB NVMe</w:t>
            </w:r>
          </w:p>
        </w:tc>
        <w:tc>
          <w:tcPr>
            <w:tcW w:w="1000" w:type="dxa"/>
            <w:tcMar>
              <w:left w:w="100" w:type="dxa"/>
              <w:right w:w="100" w:type="dxa"/>
            </w:tcMar>
          </w:tcPr>
          <w:p>
            <w:pPr>
              <w:spacing w:before="40" w:after="40"/>
              <w:jc w:val="right"/>
            </w:pPr>
            <w:r>
              <w:t xml:space="preserve">34.900</w:t>
            </w:r>
          </w:p>
        </w:tc>
        <w:tc>
          <w:tcPr>
            <w:tcW w:w="1200" w:type="dxa"/>
            <w:tcMar>
              <w:left w:w="100" w:type="dxa"/>
              <w:right w:w="100" w:type="dxa"/>
            </w:tcMar>
          </w:tcPr>
          <w:p>
            <w:pPr>
              <w:spacing w:before="40" w:after="40"/>
              <w:jc w:val="right"/>
            </w:pPr>
            <w:r>
              <w:t xml:space="preserve">21.900</w:t>
            </w:r>
          </w:p>
        </w:tc>
        <w:tc>
          <w:tcPr>
            <w:tcW w:w="1200" w:type="dxa"/>
            <w:tcMar>
              <w:left w:w="100" w:type="dxa"/>
              <w:right w:w="100" w:type="dxa"/>
            </w:tcMar>
          </w:tcPr>
          <w:p>
            <w:pPr>
              <w:spacing w:before="40" w:after="40"/>
              <w:jc w:val="right"/>
            </w:pPr>
            <w:r>
              <w:t xml:space="preserve">19.900</w:t>
            </w:r>
          </w:p>
        </w:tc>
        <w:tc>
          <w:tcPr>
            <w:tcW w:w="1500" w:type="dxa"/>
            <w:tcMar>
              <w:left w:w="100" w:type="dxa"/>
              <w:right w:w="100" w:type="dxa"/>
            </w:tcMar>
          </w:tcPr>
          <w:p>
            <w:pPr>
              <w:spacing w:before="40" w:after="40"/>
              <w:jc w:val="right"/>
            </w:pPr>
            <w:r>
              <w:t xml:space="preserve">38.900</w:t>
            </w:r>
          </w:p>
        </w:tc>
      </w:tr>
      <w:tr>
        <w:trPr>
          <w:cantSplit/>
        </w:trPr>
        <w:tc>
          <w:tcPr>
            <w:tcW w:w="1700" w:type="dxa"/>
            <w:shd w:val="clear" w:color="auto" w:fill="EAF1FB"/>
            <w:tcMar>
              <w:left w:w="100" w:type="dxa"/>
              <w:right w:w="100" w:type="dxa"/>
            </w:tcMar>
          </w:tcPr>
          <w:p>
            <w:pPr>
              <w:spacing w:before="40" w:after="40"/>
            </w:pPr>
            <w:r>
              <w:rPr>
                <w:b/>
              </w:rPr>
              <w:t xml:space="preserve">KVM 2 (recomendado)</w:t>
            </w:r>
          </w:p>
        </w:tc>
        <w:tc>
          <w:tcPr>
            <w:tcW w:w="2760" w:type="dxa"/>
            <w:shd w:val="clear" w:color="auto" w:fill="EAF1FB"/>
            <w:tcMar>
              <w:left w:w="100" w:type="dxa"/>
              <w:right w:w="100" w:type="dxa"/>
            </w:tcMar>
          </w:tcPr>
          <w:p>
            <w:pPr>
              <w:spacing w:before="40" w:after="40"/>
            </w:pPr>
            <w:r>
              <w:t xml:space="preserve">2 vCPU · 8 GB RAM · 100 GB NVMe</w:t>
            </w:r>
          </w:p>
        </w:tc>
        <w:tc>
          <w:tcPr>
            <w:tcW w:w="1000" w:type="dxa"/>
            <w:shd w:val="clear" w:color="auto" w:fill="EAF1FB"/>
            <w:tcMar>
              <w:left w:w="100" w:type="dxa"/>
              <w:right w:w="100" w:type="dxa"/>
            </w:tcMar>
          </w:tcPr>
          <w:p>
            <w:pPr>
              <w:spacing w:before="40" w:after="40"/>
              <w:jc w:val="right"/>
            </w:pPr>
            <w:r>
              <w:t xml:space="preserve">46.900</w:t>
            </w:r>
          </w:p>
        </w:tc>
        <w:tc>
          <w:tcPr>
            <w:tcW w:w="1200" w:type="dxa"/>
            <w:shd w:val="clear" w:color="auto" w:fill="EAF1FB"/>
            <w:tcMar>
              <w:left w:w="100" w:type="dxa"/>
              <w:right w:w="100" w:type="dxa"/>
            </w:tcMar>
          </w:tcPr>
          <w:p>
            <w:pPr>
              <w:spacing w:before="40" w:after="40"/>
              <w:jc w:val="right"/>
            </w:pPr>
            <w:r>
              <w:t xml:space="preserve">32.900</w:t>
            </w:r>
          </w:p>
        </w:tc>
        <w:tc>
          <w:tcPr>
            <w:tcW w:w="1200" w:type="dxa"/>
            <w:shd w:val="clear" w:color="auto" w:fill="EAF1FB"/>
            <w:tcMar>
              <w:left w:w="100" w:type="dxa"/>
              <w:right w:w="100" w:type="dxa"/>
            </w:tcMar>
          </w:tcPr>
          <w:p>
            <w:pPr>
              <w:spacing w:before="40" w:after="40"/>
              <w:jc w:val="right"/>
            </w:pPr>
            <w:r>
              <w:t xml:space="preserve">27.900</w:t>
            </w:r>
          </w:p>
        </w:tc>
        <w:tc>
          <w:tcPr>
            <w:tcW w:w="1500" w:type="dxa"/>
            <w:shd w:val="clear" w:color="auto" w:fill="EAF1FB"/>
            <w:tcMar>
              <w:left w:w="100" w:type="dxa"/>
              <w:right w:w="100" w:type="dxa"/>
            </w:tcMar>
          </w:tcPr>
          <w:p>
            <w:pPr>
              <w:spacing w:before="40" w:after="40"/>
              <w:jc w:val="right"/>
            </w:pPr>
            <w:r>
              <w:t xml:space="preserve">50.900</w:t>
            </w:r>
          </w:p>
        </w:tc>
      </w:tr>
      <w:tr>
        <w:trPr>
          <w:cantSplit/>
        </w:trPr>
        <w:tc>
          <w:tcPr>
            <w:tcW w:w="1700" w:type="dxa"/>
            <w:tcMar>
              <w:left w:w="100" w:type="dxa"/>
              <w:right w:w="100" w:type="dxa"/>
            </w:tcMar>
          </w:tcPr>
          <w:p>
            <w:pPr>
              <w:spacing w:before="40" w:after="40"/>
            </w:pPr>
            <w:r>
              <w:rPr>
                <w:b/>
              </w:rPr>
              <w:t xml:space="preserve">KVM 4</w:t>
            </w:r>
          </w:p>
        </w:tc>
        <w:tc>
          <w:tcPr>
            <w:tcW w:w="2760" w:type="dxa"/>
            <w:tcMar>
              <w:left w:w="100" w:type="dxa"/>
              <w:right w:w="100" w:type="dxa"/>
            </w:tcMar>
          </w:tcPr>
          <w:p>
            <w:pPr>
              <w:spacing w:before="40" w:after="40"/>
            </w:pPr>
            <w:r>
              <w:t xml:space="preserve">4 vCPU · 16 GB RAM · 200 GB NVMe</w:t>
            </w:r>
          </w:p>
        </w:tc>
        <w:tc>
          <w:tcPr>
            <w:tcW w:w="1000" w:type="dxa"/>
            <w:tcMar>
              <w:left w:w="100" w:type="dxa"/>
              <w:right w:w="100" w:type="dxa"/>
            </w:tcMar>
          </w:tcPr>
          <w:p>
            <w:pPr>
              <w:spacing w:before="40" w:after="40"/>
              <w:jc w:val="right"/>
            </w:pPr>
            <w:r>
              <w:t xml:space="preserve">84.900</w:t>
            </w:r>
          </w:p>
        </w:tc>
        <w:tc>
          <w:tcPr>
            <w:tcW w:w="1200" w:type="dxa"/>
            <w:tcMar>
              <w:left w:w="100" w:type="dxa"/>
              <w:right w:w="100" w:type="dxa"/>
            </w:tcMar>
          </w:tcPr>
          <w:p>
            <w:pPr>
              <w:spacing w:before="40" w:after="40"/>
              <w:jc w:val="right"/>
            </w:pPr>
            <w:r>
              <w:t xml:space="preserve">45.900</w:t>
            </w:r>
          </w:p>
        </w:tc>
        <w:tc>
          <w:tcPr>
            <w:tcW w:w="1200" w:type="dxa"/>
            <w:tcMar>
              <w:left w:w="100" w:type="dxa"/>
              <w:right w:w="100" w:type="dxa"/>
            </w:tcMar>
          </w:tcPr>
          <w:p>
            <w:pPr>
              <w:spacing w:before="40" w:after="40"/>
              <w:jc w:val="right"/>
            </w:pPr>
            <w:r>
              <w:t xml:space="preserve">38.900</w:t>
            </w:r>
          </w:p>
        </w:tc>
        <w:tc>
          <w:tcPr>
            <w:tcW w:w="1500" w:type="dxa"/>
            <w:tcMar>
              <w:left w:w="100" w:type="dxa"/>
              <w:right w:w="100" w:type="dxa"/>
            </w:tcMar>
          </w:tcPr>
          <w:p>
            <w:pPr>
              <w:spacing w:before="40" w:after="40"/>
              <w:jc w:val="right"/>
            </w:pPr>
            <w:r>
              <w:t xml:space="preserve">97.900</w:t>
            </w:r>
          </w:p>
        </w:tc>
      </w:tr>
    </w:tbl>
    <w:p>
      <w:pPr>
        <w:spacing w:after="120"/>
      </w:pPr>
    </w:p>
    <w:p>
      <w:r>
        <w:rPr>
          <w:color w:val="595959"/>
          <w:sz w:val="20"/>
          <w:szCs w:val="20"/>
        </w:rPr>
        <w:t xml:space="preserve">Los planes de 12 y 24 meses suelen pagarse por adelantado (precio mensual por número de meses), y al terminar el plazo se renuevan al precio normal. Con KVM 2: 24 meses equivalen a COP 669.600 en un solo pago. Confirme el valor exacto en el carrito de compra antes de pagar.</w:t>
      </w:r>
    </w:p>
    <w:p>
      <w:pPr>
        <w:spacing w:after="80"/>
      </w:pPr>
      <w:r>
        <w:rPr>
          <w:b/>
        </w:rPr>
        <w:t xml:space="preserve">Por qué KVM 2:</w:t>
      </w:r>
      <w:r>
        <w:t xml:space="preserve"> la base de datos y el sistema comparten el mismo servidor; los 8 GB de memoria dejan margen para el crecimiento (Etapa 3, más proyectos, copias de seguridad). KVM 1 alcanza para comenzar, con menos holgura.</w:t>
      </w:r>
    </w:p>
    <w:p>
      <w:r>
        <w:rPr>
          <w:b/>
        </w:rPr>
        <w:t xml:space="preserve">A tener en cuenta:</w:t>
      </w:r>
      <w:r>
        <w:t xml:space="preserve"> la administración del servidor (seguridad, actualizaciones, revisión de copias) requiere vigilancia periódica, que se coordina con el desarrollador. Las copias de seguridad externas necesitan un almacenamiento adicional de costo muy bajo (estimado en menos de US$ 1 al mes para el volumen esperado).</w:t>
      </w:r>
    </w:p>
    <w:p>
      <w:pPr>
        <w:pStyle w:val="Heading2"/>
        <w:keepNext/>
      </w:pPr>
      <w:r>
        <w:t xml:space="preserve">Opción B. Amazon Web Services (AWS)</w:t>
      </w:r>
    </w:p>
    <w:p>
      <w:r>
        <w:t xml:space="preserve">La plataforma en la nube de Amazon, con servidor, base de datos administrada y almacenamiento de archivos por separado. Es la opción más robusta y escalable: las copias de la base de datos son automáticas y cuenta con soporte de nivel empresarial. A cambio, cuesta entre tres y cinco veces más, se factura en dólares según el uso y su consola es más compleja de administrar.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360"/>
        <w:gridCol w:w="3000"/>
      </w:tblGrid>
      <w:tr>
        <w:trPr>
          <w:cantSplit/>
          <w:tblHeader/>
        </w:trPr>
        <w:tc>
          <w:tcPr>
            <w:tcW w:w="6360" w:type="dxa"/>
            <w:shd w:val="clear" w:color="auto" w:fill="D9E2F3"/>
            <w:tcMar>
              <w:left w:w="100" w:type="dxa"/>
              <w:right w:w="100" w:type="dxa"/>
            </w:tcMar>
          </w:tcPr>
          <w:p>
            <w:pPr>
              <w:spacing w:before="40" w:after="40"/>
            </w:pPr>
            <w:r>
              <w:rPr>
                <w:b/>
              </w:rPr>
              <w:t xml:space="preserve">Componente</w:t>
            </w:r>
          </w:p>
        </w:tc>
        <w:tc>
          <w:tcPr>
            <w:tcW w:w="3000" w:type="dxa"/>
            <w:shd w:val="clear" w:color="auto" w:fill="D9E2F3"/>
            <w:tcMar>
              <w:left w:w="100" w:type="dxa"/>
              <w:right w:w="100" w:type="dxa"/>
            </w:tcMar>
          </w:tcPr>
          <w:p>
            <w:pPr>
              <w:spacing w:before="40" w:after="40"/>
            </w:pPr>
            <w:r>
              <w:rPr>
                <w:b/>
              </w:rPr>
              <w:t xml:space="preserve">Estimado mensual (USD)</w:t>
            </w:r>
          </w:p>
        </w:tc>
      </w:tr>
      <w:tr>
        <w:trPr>
          <w:cantSplit/>
        </w:trPr>
        <w:tc>
          <w:tcPr>
            <w:tcW w:w="6360" w:type="dxa"/>
            <w:tcMar>
              <w:left w:w="100" w:type="dxa"/>
              <w:right w:w="100" w:type="dxa"/>
            </w:tcMar>
          </w:tcPr>
          <w:p>
            <w:pPr>
              <w:spacing w:before="40" w:after="40"/>
            </w:pPr>
            <w:r>
              <w:t xml:space="preserve">Servidor (EC2 t4g.small, 2 GB)</w:t>
            </w:r>
          </w:p>
        </w:tc>
        <w:tc>
          <w:tcPr>
            <w:tcW w:w="3000" w:type="dxa"/>
            <w:tcMar>
              <w:left w:w="100" w:type="dxa"/>
              <w:right w:w="100" w:type="dxa"/>
            </w:tcMar>
          </w:tcPr>
          <w:p>
            <w:pPr>
              <w:spacing w:before="40" w:after="40"/>
              <w:jc w:val="right"/>
            </w:pPr>
            <w:r>
              <w:t xml:space="preserve">Aprox. 12</w:t>
            </w:r>
          </w:p>
        </w:tc>
      </w:tr>
      <w:tr>
        <w:trPr>
          <w:cantSplit/>
        </w:trPr>
        <w:tc>
          <w:tcPr>
            <w:tcW w:w="6360" w:type="dxa"/>
            <w:tcMar>
              <w:left w:w="100" w:type="dxa"/>
              <w:right w:w="100" w:type="dxa"/>
            </w:tcMar>
          </w:tcPr>
          <w:p>
            <w:pPr>
              <w:spacing w:before="40" w:after="40"/>
            </w:pPr>
            <w:r>
              <w:t xml:space="preserve">Base de datos administrada (RDS PostgreSQL db.t4g.micro) y su disco</w:t>
            </w:r>
          </w:p>
        </w:tc>
        <w:tc>
          <w:tcPr>
            <w:tcW w:w="3000" w:type="dxa"/>
            <w:tcMar>
              <w:left w:w="100" w:type="dxa"/>
              <w:right w:w="100" w:type="dxa"/>
            </w:tcMar>
          </w:tcPr>
          <w:p>
            <w:pPr>
              <w:spacing w:before="40" w:after="40"/>
              <w:jc w:val="right"/>
            </w:pPr>
            <w:r>
              <w:t xml:space="preserve">Aprox. 14</w:t>
            </w:r>
          </w:p>
        </w:tc>
      </w:tr>
      <w:tr>
        <w:trPr>
          <w:cantSplit/>
        </w:trPr>
        <w:tc>
          <w:tcPr>
            <w:tcW w:w="6360" w:type="dxa"/>
            <w:tcMar>
              <w:left w:w="100" w:type="dxa"/>
              <w:right w:w="100" w:type="dxa"/>
            </w:tcMar>
          </w:tcPr>
          <w:p>
            <w:pPr>
              <w:spacing w:before="40" w:after="40"/>
            </w:pPr>
            <w:r>
              <w:t xml:space="preserve">Disco del servidor, dirección IP pública, archivos (S3), DNS y tráfico</w:t>
            </w:r>
          </w:p>
        </w:tc>
        <w:tc>
          <w:tcPr>
            <w:tcW w:w="3000" w:type="dxa"/>
            <w:tcMar>
              <w:left w:w="100" w:type="dxa"/>
              <w:right w:w="100" w:type="dxa"/>
            </w:tcMar>
          </w:tcPr>
          <w:p>
            <w:pPr>
              <w:spacing w:before="40" w:after="40"/>
              <w:jc w:val="right"/>
            </w:pPr>
            <w:r>
              <w:t xml:space="preserve">Aprox. 5 a 12</w:t>
            </w:r>
          </w:p>
        </w:tc>
      </w:tr>
      <w:tr>
        <w:trPr>
          <w:cantSplit/>
        </w:trPr>
        <w:tc>
          <w:tcPr>
            <w:tcW w:w="6360" w:type="dxa"/>
            <w:tcMar>
              <w:left w:w="100" w:type="dxa"/>
              <w:right w:w="100" w:type="dxa"/>
            </w:tcMar>
          </w:tcPr>
          <w:p>
            <w:pPr>
              <w:spacing w:before="40" w:after="40"/>
            </w:pPr>
            <w:r>
              <w:t xml:space="preserve">Total estimado</w:t>
            </w:r>
          </w:p>
        </w:tc>
        <w:tc>
          <w:tcPr>
            <w:tcW w:w="3000" w:type="dxa"/>
            <w:tcMar>
              <w:left w:w="100" w:type="dxa"/>
              <w:right w:w="100" w:type="dxa"/>
            </w:tcMar>
          </w:tcPr>
          <w:p>
            <w:pPr>
              <w:spacing w:before="40" w:after="40"/>
              <w:jc w:val="right"/>
            </w:pPr>
            <w:r>
              <w:t xml:space="preserve">US$ 30 a 40 al mes</w:t>
            </w:r>
          </w:p>
        </w:tc>
      </w:tr>
    </w:tbl>
    <w:p>
      <w:pPr>
        <w:spacing w:after="120"/>
      </w:pPr>
    </w:p>
    <w:p>
      <w:r>
        <w:rPr>
          <w:color w:val="595959"/>
          <w:sz w:val="20"/>
          <w:szCs w:val="20"/>
        </w:rPr>
        <w:t xml:space="preserve">Estimación del desarrollador con base en tarifas públicas de AWS (región de Virginia, EE. UU.). Debe confirmarse con la calculadora oficial de AWS antes de contratar. El valor en pesos depende de la tasa de cambio del día de cada cobro.</w:t>
      </w:r>
    </w:p>
    <w:p>
      <w:pPr>
        <w:pStyle w:val="Heading2"/>
        <w:keepNext/>
      </w:pPr>
      <w:r>
        <w:t xml:space="preserve">Opción C. Hosting compartido (micom.co) · No recomendada para este sistema</w:t>
      </w:r>
    </w:p>
    <w:p>
      <w:r>
        <w:t xml:space="preserve">Planes anuales de hosting compartido con panel cPanel, pensados para páginas web (precios con la promoción vigente hasta el 23/10/2026):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500"/>
        <w:gridCol w:w="3860"/>
        <w:gridCol w:w="2200"/>
        <w:gridCol w:w="1800"/>
      </w:tblGrid>
      <w:tr>
        <w:trPr>
          <w:cantSplit/>
          <w:tblHeader/>
        </w:trPr>
        <w:tc>
          <w:tcPr>
            <w:tcW w:w="1500" w:type="dxa"/>
            <w:shd w:val="clear" w:color="auto" w:fill="D9E2F3"/>
            <w:tcMar>
              <w:left w:w="100" w:type="dxa"/>
              <w:right w:w="100" w:type="dxa"/>
            </w:tcMar>
          </w:tcPr>
          <w:p>
            <w:pPr>
              <w:spacing w:before="40" w:after="40"/>
            </w:pPr>
            <w:r>
              <w:rPr>
                <w:b/>
              </w:rPr>
              <w:t xml:space="preserve">Plan</w:t>
            </w:r>
          </w:p>
        </w:tc>
        <w:tc>
          <w:tcPr>
            <w:tcW w:w="3860" w:type="dxa"/>
            <w:shd w:val="clear" w:color="auto" w:fill="D9E2F3"/>
            <w:tcMar>
              <w:left w:w="100" w:type="dxa"/>
              <w:right w:w="100" w:type="dxa"/>
            </w:tcMar>
          </w:tcPr>
          <w:p>
            <w:pPr>
              <w:spacing w:before="40" w:after="40"/>
            </w:pPr>
            <w:r>
              <w:rPr>
                <w:b/>
              </w:rPr>
              <w:t xml:space="preserve">Recursos</w:t>
            </w:r>
          </w:p>
        </w:tc>
        <w:tc>
          <w:tcPr>
            <w:tcW w:w="2200" w:type="dxa"/>
            <w:shd w:val="clear" w:color="auto" w:fill="D9E2F3"/>
            <w:tcMar>
              <w:left w:w="100" w:type="dxa"/>
              <w:right w:w="100" w:type="dxa"/>
            </w:tcMar>
          </w:tcPr>
          <w:p>
            <w:pPr>
              <w:spacing w:before="40" w:after="40"/>
            </w:pPr>
            <w:r>
              <w:rPr>
                <w:b/>
              </w:rPr>
              <w:t xml:space="preserve">Precio anual (promoción)</w:t>
            </w:r>
          </w:p>
        </w:tc>
        <w:tc>
          <w:tcPr>
            <w:tcW w:w="1800" w:type="dxa"/>
            <w:shd w:val="clear" w:color="auto" w:fill="D9E2F3"/>
            <w:tcMar>
              <w:left w:w="100" w:type="dxa"/>
              <w:right w:w="100" w:type="dxa"/>
            </w:tcMar>
          </w:tcPr>
          <w:p>
            <w:pPr>
              <w:spacing w:before="40" w:after="40"/>
            </w:pPr>
            <w:r>
              <w:rPr>
                <w:b/>
              </w:rPr>
              <w:t xml:space="preserve">Precio normal anual</w:t>
            </w:r>
          </w:p>
        </w:tc>
      </w:tr>
      <w:tr>
        <w:trPr>
          <w:cantSplit/>
        </w:trPr>
        <w:tc>
          <w:tcPr>
            <w:tcW w:w="1500" w:type="dxa"/>
            <w:tcMar>
              <w:left w:w="100" w:type="dxa"/>
              <w:right w:w="100" w:type="dxa"/>
            </w:tcMar>
          </w:tcPr>
          <w:p>
            <w:pPr>
              <w:spacing w:before="40" w:after="40"/>
            </w:pPr>
            <w:r>
              <w:rPr>
                <w:b/>
              </w:rPr>
              <w:t xml:space="preserve">Starter</w:t>
            </w:r>
          </w:p>
        </w:tc>
        <w:tc>
          <w:tcPr>
            <w:tcW w:w="3860" w:type="dxa"/>
            <w:tcMar>
              <w:left w:w="100" w:type="dxa"/>
              <w:right w:w="100" w:type="dxa"/>
            </w:tcMar>
          </w:tcPr>
          <w:p>
            <w:pPr>
              <w:spacing w:before="40" w:after="40"/>
            </w:pPr>
            <w:r>
              <w:t xml:space="preserve">1 vCPU · 1 GB RAM · 1 GB de disco</w:t>
            </w:r>
          </w:p>
        </w:tc>
        <w:tc>
          <w:tcPr>
            <w:tcW w:w="2200" w:type="dxa"/>
            <w:tcMar>
              <w:left w:w="100" w:type="dxa"/>
              <w:right w:w="100" w:type="dxa"/>
            </w:tcMar>
          </w:tcPr>
          <w:p>
            <w:pPr>
              <w:spacing w:before="40" w:after="40"/>
              <w:jc w:val="right"/>
            </w:pPr>
            <w:r>
              <w:t xml:space="preserve">43.194</w:t>
            </w:r>
          </w:p>
        </w:tc>
        <w:tc>
          <w:tcPr>
            <w:tcW w:w="1800" w:type="dxa"/>
            <w:tcMar>
              <w:left w:w="100" w:type="dxa"/>
              <w:right w:w="100" w:type="dxa"/>
            </w:tcMar>
          </w:tcPr>
          <w:p>
            <w:pPr>
              <w:spacing w:before="40" w:after="40"/>
              <w:jc w:val="right"/>
            </w:pPr>
            <w:r>
              <w:t xml:space="preserve">71.990</w:t>
            </w:r>
          </w:p>
        </w:tc>
      </w:tr>
      <w:tr>
        <w:trPr>
          <w:cantSplit/>
        </w:trPr>
        <w:tc>
          <w:tcPr>
            <w:tcW w:w="1500" w:type="dxa"/>
            <w:tcMar>
              <w:left w:w="100" w:type="dxa"/>
              <w:right w:w="100" w:type="dxa"/>
            </w:tcMar>
          </w:tcPr>
          <w:p>
            <w:pPr>
              <w:spacing w:before="40" w:after="40"/>
            </w:pPr>
            <w:r>
              <w:rPr>
                <w:b/>
              </w:rPr>
              <w:t xml:space="preserve">Advanced</w:t>
            </w:r>
          </w:p>
        </w:tc>
        <w:tc>
          <w:tcPr>
            <w:tcW w:w="3860" w:type="dxa"/>
            <w:tcMar>
              <w:left w:w="100" w:type="dxa"/>
              <w:right w:w="100" w:type="dxa"/>
            </w:tcMar>
          </w:tcPr>
          <w:p>
            <w:pPr>
              <w:spacing w:before="40" w:after="40"/>
            </w:pPr>
            <w:r>
              <w:t xml:space="preserve">2 vCPU · 2 GB RAM · 5 GB de disco</w:t>
            </w:r>
          </w:p>
        </w:tc>
        <w:tc>
          <w:tcPr>
            <w:tcW w:w="2200" w:type="dxa"/>
            <w:tcMar>
              <w:left w:w="100" w:type="dxa"/>
              <w:right w:w="100" w:type="dxa"/>
            </w:tcMar>
          </w:tcPr>
          <w:p>
            <w:pPr>
              <w:spacing w:before="40" w:after="40"/>
              <w:jc w:val="right"/>
            </w:pPr>
            <w:r>
              <w:t xml:space="preserve">76.794</w:t>
            </w:r>
          </w:p>
        </w:tc>
        <w:tc>
          <w:tcPr>
            <w:tcW w:w="1800" w:type="dxa"/>
            <w:tcMar>
              <w:left w:w="100" w:type="dxa"/>
              <w:right w:w="100" w:type="dxa"/>
            </w:tcMar>
          </w:tcPr>
          <w:p>
            <w:pPr>
              <w:spacing w:before="40" w:after="40"/>
              <w:jc w:val="right"/>
            </w:pPr>
            <w:r>
              <w:t xml:space="preserve">127.990</w:t>
            </w:r>
          </w:p>
        </w:tc>
      </w:tr>
      <w:tr>
        <w:trPr>
          <w:cantSplit/>
        </w:trPr>
        <w:tc>
          <w:tcPr>
            <w:tcW w:w="1500" w:type="dxa"/>
            <w:tcMar>
              <w:left w:w="100" w:type="dxa"/>
              <w:right w:w="100" w:type="dxa"/>
            </w:tcMar>
          </w:tcPr>
          <w:p>
            <w:pPr>
              <w:spacing w:before="40" w:after="40"/>
            </w:pPr>
            <w:r>
              <w:rPr>
                <w:b/>
              </w:rPr>
              <w:t xml:space="preserve">Elite</w:t>
            </w:r>
          </w:p>
        </w:tc>
        <w:tc>
          <w:tcPr>
            <w:tcW w:w="3860" w:type="dxa"/>
            <w:tcMar>
              <w:left w:w="100" w:type="dxa"/>
              <w:right w:w="100" w:type="dxa"/>
            </w:tcMar>
          </w:tcPr>
          <w:p>
            <w:pPr>
              <w:spacing w:before="40" w:after="40"/>
            </w:pPr>
            <w:r>
              <w:t xml:space="preserve">3 vCPU · 3 GB RAM · 10 GB de disco</w:t>
            </w:r>
          </w:p>
        </w:tc>
        <w:tc>
          <w:tcPr>
            <w:tcW w:w="2200" w:type="dxa"/>
            <w:tcMar>
              <w:left w:w="100" w:type="dxa"/>
              <w:right w:w="100" w:type="dxa"/>
            </w:tcMar>
          </w:tcPr>
          <w:p>
            <w:pPr>
              <w:spacing w:before="40" w:after="40"/>
              <w:jc w:val="right"/>
            </w:pPr>
            <w:r>
              <w:t xml:space="preserve">107.994</w:t>
            </w:r>
          </w:p>
        </w:tc>
        <w:tc>
          <w:tcPr>
            <w:tcW w:w="1800" w:type="dxa"/>
            <w:tcMar>
              <w:left w:w="100" w:type="dxa"/>
              <w:right w:w="100" w:type="dxa"/>
            </w:tcMar>
          </w:tcPr>
          <w:p>
            <w:pPr>
              <w:spacing w:before="40" w:after="40"/>
              <w:jc w:val="right"/>
            </w:pPr>
            <w:r>
              <w:t xml:space="preserve">179.990</w:t>
            </w:r>
          </w:p>
        </w:tc>
      </w:tr>
    </w:tbl>
    <w:p>
      <w:pPr>
        <w:spacing w:after="120"/>
      </w:pPr>
    </w:p>
    <w:p>
      <w:r>
        <w:t xml:space="preserve">Es la más económica, pero </w:t>
      </w:r>
      <w:r>
        <w:rPr>
          <w:b/>
        </w:rPr>
        <w:t xml:space="preserve">no la recomendamos para este sistema</w:t>
      </w:r>
      <w:r>
        <w:t xml:space="preserve">: es un servicio compartido con poca memoria, diseñado para sitios web, y el sistema necesita un proceso que permanezca encendido con tareas programadas (los recordatorios de las 8:00 a. m.) y base de datos PostgreSQL. Podría servir más adelante para una página web informativa o un correo corporativo.</w:t>
      </w:r>
    </w:p>
    <w:p>
      <w:pPr>
        <w:pStyle w:val="Heading2"/>
        <w:keepNext/>
      </w:pPr>
      <w:r>
        <w:t xml:space="preserve">Comparación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00"/>
        <w:gridCol w:w="2400"/>
        <w:gridCol w:w="2760"/>
        <w:gridCol w:w="2100"/>
      </w:tblGrid>
      <w:tr>
        <w:trPr>
          <w:cantSplit/>
          <w:tblHeader/>
        </w:trPr>
        <w:tc>
          <w:tcPr>
            <w:tcW w:w="2100" w:type="dxa"/>
            <w:shd w:val="clear" w:color="auto" w:fill="D9E2F3"/>
            <w:tcMar>
              <w:left w:w="100" w:type="dxa"/>
              <w:right w:w="100" w:type="dxa"/>
            </w:tcMar>
          </w:tcPr>
          <w:p>
            <w:pPr>
              <w:spacing w:before="40" w:after="40"/>
            </w:pPr>
            <w:r>
              <w:rPr>
                <w:b/>
              </w:rPr>
              <w:t xml:space="preserve">Criterio</w:t>
            </w:r>
          </w:p>
        </w:tc>
        <w:tc>
          <w:tcPr>
            <w:tcW w:w="2400" w:type="dxa"/>
            <w:shd w:val="clear" w:color="auto" w:fill="D9E2F3"/>
            <w:tcMar>
              <w:left w:w="100" w:type="dxa"/>
              <w:right w:w="100" w:type="dxa"/>
            </w:tcMar>
          </w:tcPr>
          <w:p>
            <w:pPr>
              <w:spacing w:before="40" w:after="40"/>
            </w:pPr>
            <w:r>
              <w:rPr>
                <w:b/>
              </w:rPr>
              <w:t xml:space="preserve">A. VPS Hostinger</w:t>
            </w:r>
          </w:p>
        </w:tc>
        <w:tc>
          <w:tcPr>
            <w:tcW w:w="2760" w:type="dxa"/>
            <w:shd w:val="clear" w:color="auto" w:fill="D9E2F3"/>
            <w:tcMar>
              <w:left w:w="100" w:type="dxa"/>
              <w:right w:w="100" w:type="dxa"/>
            </w:tcMar>
          </w:tcPr>
          <w:p>
            <w:pPr>
              <w:spacing w:before="40" w:after="40"/>
            </w:pPr>
            <w:r>
              <w:rPr>
                <w:b/>
              </w:rPr>
              <w:t xml:space="preserve">B. AWS</w:t>
            </w:r>
          </w:p>
        </w:tc>
        <w:tc>
          <w:tcPr>
            <w:tcW w:w="2100" w:type="dxa"/>
            <w:shd w:val="clear" w:color="auto" w:fill="D9E2F3"/>
            <w:tcMar>
              <w:left w:w="100" w:type="dxa"/>
              <w:right w:w="100" w:type="dxa"/>
            </w:tcMar>
          </w:tcPr>
          <w:p>
            <w:pPr>
              <w:spacing w:before="40" w:after="40"/>
            </w:pPr>
            <w:r>
              <w:rPr>
                <w:b/>
              </w:rPr>
              <w:t xml:space="preserve">C. Compartido</w:t>
            </w:r>
          </w:p>
        </w:tc>
      </w:tr>
      <w:tr>
        <w:trPr>
          <w:cantSplit/>
        </w:trPr>
        <w:tc>
          <w:tcPr>
            <w:tcW w:w="2100" w:type="dxa"/>
            <w:tcMar>
              <w:left w:w="100" w:type="dxa"/>
              <w:right w:w="100" w:type="dxa"/>
            </w:tcMar>
          </w:tcPr>
          <w:p>
            <w:pPr>
              <w:spacing w:before="40" w:after="40"/>
            </w:pPr>
            <w:r>
              <w:rPr>
                <w:b/>
              </w:rPr>
              <w:t xml:space="preserve">Costo mensual aprox.</w:t>
            </w:r>
          </w:p>
        </w:tc>
        <w:tc>
          <w:tcPr>
            <w:tcW w:w="2400" w:type="dxa"/>
            <w:tcMar>
              <w:left w:w="100" w:type="dxa"/>
              <w:right w:w="100" w:type="dxa"/>
            </w:tcMar>
          </w:tcPr>
          <w:p>
            <w:pPr>
              <w:spacing w:before="40" w:after="40"/>
            </w:pPr>
            <w:r>
              <w:t xml:space="preserve">COP 28.000 a 47.000</w:t>
            </w:r>
          </w:p>
        </w:tc>
        <w:tc>
          <w:tcPr>
            <w:tcW w:w="2760" w:type="dxa"/>
            <w:tcMar>
              <w:left w:w="100" w:type="dxa"/>
              <w:right w:w="100" w:type="dxa"/>
            </w:tcMar>
          </w:tcPr>
          <w:p>
            <w:pPr>
              <w:spacing w:before="40" w:after="40"/>
            </w:pPr>
            <w:r>
              <w:t xml:space="preserve">COP 120.000 a 160.000 (US$ 30 a 40)</w:t>
            </w:r>
          </w:p>
        </w:tc>
        <w:tc>
          <w:tcPr>
            <w:tcW w:w="2100" w:type="dxa"/>
            <w:tcMar>
              <w:left w:w="100" w:type="dxa"/>
              <w:right w:w="100" w:type="dxa"/>
            </w:tcMar>
          </w:tcPr>
          <w:p>
            <w:pPr>
              <w:spacing w:before="40" w:after="40"/>
            </w:pPr>
            <w:r>
              <w:t xml:space="preserve">COP 3.600 a 9.000</w:t>
            </w:r>
          </w:p>
        </w:tc>
      </w:tr>
      <w:tr>
        <w:trPr>
          <w:cantSplit/>
        </w:trPr>
        <w:tc>
          <w:tcPr>
            <w:tcW w:w="2100" w:type="dxa"/>
            <w:tcMar>
              <w:left w:w="100" w:type="dxa"/>
              <w:right w:w="100" w:type="dxa"/>
            </w:tcMar>
          </w:tcPr>
          <w:p>
            <w:pPr>
              <w:spacing w:before="40" w:after="40"/>
            </w:pPr>
            <w:r>
              <w:rPr>
                <w:b/>
              </w:rPr>
              <w:t xml:space="preserve">Adecuado para el sistema</w:t>
            </w:r>
          </w:p>
        </w:tc>
        <w:tc>
          <w:tcPr>
            <w:tcW w:w="2400" w:type="dxa"/>
            <w:tcMar>
              <w:left w:w="100" w:type="dxa"/>
              <w:right w:w="100" w:type="dxa"/>
            </w:tcMar>
          </w:tcPr>
          <w:p>
            <w:pPr>
              <w:spacing w:before="40" w:after="40"/>
            </w:pPr>
            <w:r>
              <w:t xml:space="preserve">Sí</w:t>
            </w:r>
          </w:p>
        </w:tc>
        <w:tc>
          <w:tcPr>
            <w:tcW w:w="2760" w:type="dxa"/>
            <w:tcMar>
              <w:left w:w="100" w:type="dxa"/>
              <w:right w:w="100" w:type="dxa"/>
            </w:tcMar>
          </w:tcPr>
          <w:p>
            <w:pPr>
              <w:spacing w:before="40" w:after="40"/>
            </w:pPr>
            <w:r>
              <w:t xml:space="preserve">Sí</w:t>
            </w:r>
          </w:p>
        </w:tc>
        <w:tc>
          <w:tcPr>
            <w:tcW w:w="2100" w:type="dxa"/>
            <w:tcMar>
              <w:left w:w="100" w:type="dxa"/>
              <w:right w:w="100" w:type="dxa"/>
            </w:tcMar>
          </w:tcPr>
          <w:p>
            <w:pPr>
              <w:spacing w:before="40" w:after="40"/>
            </w:pPr>
            <w:r>
              <w:t xml:space="preserve">No</w:t>
            </w:r>
          </w:p>
        </w:tc>
      </w:tr>
      <w:tr>
        <w:trPr>
          <w:cantSplit/>
        </w:trPr>
        <w:tc>
          <w:tcPr>
            <w:tcW w:w="2100" w:type="dxa"/>
            <w:tcMar>
              <w:left w:w="100" w:type="dxa"/>
              <w:right w:w="100" w:type="dxa"/>
            </w:tcMar>
          </w:tcPr>
          <w:p>
            <w:pPr>
              <w:spacing w:before="40" w:after="40"/>
            </w:pPr>
            <w:r>
              <w:rPr>
                <w:b/>
              </w:rPr>
              <w:t xml:space="preserve">Copias de seguridad</w:t>
            </w:r>
          </w:p>
        </w:tc>
        <w:tc>
          <w:tcPr>
            <w:tcW w:w="2400" w:type="dxa"/>
            <w:tcMar>
              <w:left w:w="100" w:type="dxa"/>
              <w:right w:w="100" w:type="dxa"/>
            </w:tcMar>
          </w:tcPr>
          <w:p>
            <w:pPr>
              <w:spacing w:before="40" w:after="40"/>
            </w:pPr>
            <w:r>
              <w:t xml:space="preserve">Programadas por el desarrollador, fuera del servidor</w:t>
            </w:r>
          </w:p>
        </w:tc>
        <w:tc>
          <w:tcPr>
            <w:tcW w:w="2760" w:type="dxa"/>
            <w:tcMar>
              <w:left w:w="100" w:type="dxa"/>
              <w:right w:w="100" w:type="dxa"/>
            </w:tcMar>
          </w:tcPr>
          <w:p>
            <w:pPr>
              <w:spacing w:before="40" w:after="40"/>
            </w:pPr>
            <w:r>
              <w:t xml:space="preserve">Automáticas en la base de datos</w:t>
            </w:r>
          </w:p>
        </w:tc>
        <w:tc>
          <w:tcPr>
            <w:tcW w:w="2100" w:type="dxa"/>
            <w:tcMar>
              <w:left w:w="100" w:type="dxa"/>
              <w:right w:w="100" w:type="dxa"/>
            </w:tcMar>
          </w:tcPr>
          <w:p>
            <w:pPr>
              <w:spacing w:before="40" w:after="40"/>
            </w:pPr>
            <w:r>
              <w:t xml:space="preserve">Limitadas</w:t>
            </w:r>
          </w:p>
        </w:tc>
      </w:tr>
      <w:tr>
        <w:trPr>
          <w:cantSplit/>
        </w:trPr>
        <w:tc>
          <w:tcPr>
            <w:tcW w:w="2100" w:type="dxa"/>
            <w:tcMar>
              <w:left w:w="100" w:type="dxa"/>
              <w:right w:w="100" w:type="dxa"/>
            </w:tcMar>
          </w:tcPr>
          <w:p>
            <w:pPr>
              <w:spacing w:before="40" w:after="40"/>
            </w:pPr>
            <w:r>
              <w:rPr>
                <w:b/>
              </w:rPr>
              <w:t xml:space="preserve">Facilidad de contratación</w:t>
            </w:r>
          </w:p>
        </w:tc>
        <w:tc>
          <w:tcPr>
            <w:tcW w:w="2400" w:type="dxa"/>
            <w:tcMar>
              <w:left w:w="100" w:type="dxa"/>
              <w:right w:w="100" w:type="dxa"/>
            </w:tcMar>
          </w:tcPr>
          <w:p>
            <w:pPr>
              <w:spacing w:before="40" w:after="40"/>
            </w:pPr>
            <w:r>
              <w:t xml:space="preserve">Alta (pesos, tarjeta local)</w:t>
            </w:r>
          </w:p>
        </w:tc>
        <w:tc>
          <w:tcPr>
            <w:tcW w:w="2760" w:type="dxa"/>
            <w:tcMar>
              <w:left w:w="100" w:type="dxa"/>
              <w:right w:w="100" w:type="dxa"/>
            </w:tcMar>
          </w:tcPr>
          <w:p>
            <w:pPr>
              <w:spacing w:before="40" w:after="40"/>
            </w:pPr>
            <w:r>
              <w:t xml:space="preserve">Media (dólares, consola compleja)</w:t>
            </w:r>
          </w:p>
        </w:tc>
        <w:tc>
          <w:tcPr>
            <w:tcW w:w="2100" w:type="dxa"/>
            <w:tcMar>
              <w:left w:w="100" w:type="dxa"/>
              <w:right w:w="100" w:type="dxa"/>
            </w:tcMar>
          </w:tcPr>
          <w:p>
            <w:pPr>
              <w:spacing w:before="40" w:after="40"/>
            </w:pPr>
            <w:r>
              <w:t xml:space="preserve">Alta</w:t>
            </w:r>
          </w:p>
        </w:tc>
      </w:tr>
      <w:tr>
        <w:trPr>
          <w:cantSplit/>
        </w:trPr>
        <w:tc>
          <w:tcPr>
            <w:tcW w:w="2100" w:type="dxa"/>
            <w:tcMar>
              <w:left w:w="100" w:type="dxa"/>
              <w:right w:w="100" w:type="dxa"/>
            </w:tcMar>
          </w:tcPr>
          <w:p>
            <w:pPr>
              <w:spacing w:before="40" w:after="40"/>
            </w:pPr>
            <w:r>
              <w:rPr>
                <w:b/>
              </w:rPr>
              <w:t xml:space="preserve">Crecimiento futuro</w:t>
            </w:r>
          </w:p>
        </w:tc>
        <w:tc>
          <w:tcPr>
            <w:tcW w:w="2400" w:type="dxa"/>
            <w:tcMar>
              <w:left w:w="100" w:type="dxa"/>
              <w:right w:w="100" w:type="dxa"/>
            </w:tcMar>
          </w:tcPr>
          <w:p>
            <w:pPr>
              <w:spacing w:before="40" w:after="40"/>
            </w:pPr>
            <w:r>
              <w:t xml:space="preserve">Se cambia a un plan mayor</w:t>
            </w:r>
          </w:p>
        </w:tc>
        <w:tc>
          <w:tcPr>
            <w:tcW w:w="2760" w:type="dxa"/>
            <w:tcMar>
              <w:left w:w="100" w:type="dxa"/>
              <w:right w:w="100" w:type="dxa"/>
            </w:tcMar>
          </w:tcPr>
          <w:p>
            <w:pPr>
              <w:spacing w:before="40" w:after="40"/>
            </w:pPr>
            <w:r>
              <w:t xml:space="preserve">Muy flexible</w:t>
            </w:r>
          </w:p>
        </w:tc>
        <w:tc>
          <w:tcPr>
            <w:tcW w:w="2100" w:type="dxa"/>
            <w:tcMar>
              <w:left w:w="100" w:type="dxa"/>
              <w:right w:w="100" w:type="dxa"/>
            </w:tcMar>
          </w:tcPr>
          <w:p>
            <w:pPr>
              <w:spacing w:before="40" w:after="40"/>
            </w:pPr>
            <w:r>
              <w:t xml:space="preserve">Muy limitado</w:t>
            </w:r>
          </w:p>
        </w:tc>
      </w:tr>
      <w:tr>
        <w:trPr>
          <w:cantSplit/>
        </w:trPr>
        <w:tc>
          <w:tcPr>
            <w:tcW w:w="2100" w:type="dxa"/>
            <w:tcMar>
              <w:left w:w="100" w:type="dxa"/>
              <w:right w:w="100" w:type="dxa"/>
            </w:tcMar>
          </w:tcPr>
          <w:p>
            <w:pPr>
              <w:spacing w:before="40" w:after="40"/>
            </w:pPr>
            <w:r>
              <w:rPr>
                <w:b/>
              </w:rPr>
              <w:t xml:space="preserve">Recomendación</w:t>
            </w:r>
          </w:p>
        </w:tc>
        <w:tc>
          <w:tcPr>
            <w:tcW w:w="2400" w:type="dxa"/>
            <w:tcMar>
              <w:left w:w="100" w:type="dxa"/>
              <w:right w:w="100" w:type="dxa"/>
            </w:tcMar>
          </w:tcPr>
          <w:p>
            <w:pPr>
              <w:spacing w:before="40" w:after="40"/>
            </w:pPr>
            <w:r>
              <w:t xml:space="preserve">Recomendada</w:t>
            </w:r>
          </w:p>
        </w:tc>
        <w:tc>
          <w:tcPr>
            <w:tcW w:w="2760" w:type="dxa"/>
            <w:tcMar>
              <w:left w:w="100" w:type="dxa"/>
              <w:right w:w="100" w:type="dxa"/>
            </w:tcMar>
          </w:tcPr>
          <w:p>
            <w:pPr>
              <w:spacing w:before="40" w:after="40"/>
            </w:pPr>
            <w:r>
              <w:t xml:space="preserve">Alternativa de mayor robustez</w:t>
            </w:r>
          </w:p>
        </w:tc>
        <w:tc>
          <w:tcPr>
            <w:tcW w:w="2100" w:type="dxa"/>
            <w:tcMar>
              <w:left w:w="100" w:type="dxa"/>
              <w:right w:w="100" w:type="dxa"/>
            </w:tcMar>
          </w:tcPr>
          <w:p>
            <w:pPr>
              <w:spacing w:before="40" w:after="40"/>
            </w:pPr>
            <w:r>
              <w:t xml:space="preserve">No recomendada</w:t>
            </w:r>
          </w:p>
        </w:tc>
      </w:tr>
    </w:tbl>
    <w:p>
      <w:pPr>
        <w:spacing w:after="120"/>
      </w:pPr>
    </w:p>
    <w:p>
      <w:pPr>
        <w:pStyle w:val="Heading1"/>
        <w:keepNext/>
      </w:pPr>
      <w:r>
        <w:t xml:space="preserve">5. Opciones de dominio</w:t>
      </w:r>
    </w:p>
    <w:p>
      <w:r>
        <w:t xml:space="preserve">El nombre balderingenieria aparecía disponible en las extensiones .com, .com.co, .co, .net y .org en la consulta del 23/10/2026 en micom.co (Anexo). La disponibilidad puede cambiar y debe verificarse en el proveedor elegido al momento de comprar. Valores en COP por año: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00"/>
        <w:gridCol w:w="1900"/>
        <w:gridCol w:w="1900"/>
        <w:gridCol w:w="2260"/>
        <w:gridCol w:w="2000"/>
      </w:tblGrid>
      <w:tr>
        <w:trPr>
          <w:cantSplit/>
          <w:tblHeader/>
        </w:trPr>
        <w:tc>
          <w:tcPr>
            <w:tcW w:w="1300" w:type="dxa"/>
            <w:shd w:val="clear" w:color="auto" w:fill="D9E2F3"/>
            <w:tcMar>
              <w:left w:w="100" w:type="dxa"/>
              <w:right w:w="100" w:type="dxa"/>
            </w:tcMar>
          </w:tcPr>
          <w:p>
            <w:pPr>
              <w:spacing w:before="40" w:after="40"/>
            </w:pPr>
            <w:r>
              <w:rPr>
                <w:b/>
              </w:rPr>
              <w:t xml:space="preserve">Extensión</w:t>
            </w:r>
          </w:p>
        </w:tc>
        <w:tc>
          <w:tcPr>
            <w:tcW w:w="1900" w:type="dxa"/>
            <w:shd w:val="clear" w:color="auto" w:fill="D9E2F3"/>
            <w:tcMar>
              <w:left w:w="100" w:type="dxa"/>
              <w:right w:w="100" w:type="dxa"/>
            </w:tcMar>
          </w:tcPr>
          <w:p>
            <w:pPr>
              <w:spacing w:before="40" w:after="40"/>
            </w:pPr>
            <w:r>
              <w:rPr>
                <w:b/>
              </w:rPr>
              <w:t xml:space="preserve">micom.co, primer año</w:t>
            </w:r>
          </w:p>
        </w:tc>
        <w:tc>
          <w:tcPr>
            <w:tcW w:w="1900" w:type="dxa"/>
            <w:shd w:val="clear" w:color="auto" w:fill="D9E2F3"/>
            <w:tcMar>
              <w:left w:w="100" w:type="dxa"/>
              <w:right w:w="100" w:type="dxa"/>
            </w:tcMar>
          </w:tcPr>
          <w:p>
            <w:pPr>
              <w:spacing w:before="40" w:after="40"/>
            </w:pPr>
            <w:r>
              <w:rPr>
                <w:b/>
              </w:rPr>
              <w:t xml:space="preserve">micom.co, renovación</w:t>
            </w:r>
          </w:p>
        </w:tc>
        <w:tc>
          <w:tcPr>
            <w:tcW w:w="2260" w:type="dxa"/>
            <w:shd w:val="clear" w:color="auto" w:fill="D9E2F3"/>
            <w:tcMar>
              <w:left w:w="100" w:type="dxa"/>
              <w:right w:w="100" w:type="dxa"/>
            </w:tcMar>
          </w:tcPr>
          <w:p>
            <w:pPr>
              <w:spacing w:before="40" w:after="40"/>
            </w:pPr>
            <w:r>
              <w:rPr>
                <w:b/>
              </w:rPr>
              <w:t xml:space="preserve">Hostinger, primer año</w:t>
            </w:r>
          </w:p>
        </w:tc>
        <w:tc>
          <w:tcPr>
            <w:tcW w:w="2000" w:type="dxa"/>
            <w:shd w:val="clear" w:color="auto" w:fill="D9E2F3"/>
            <w:tcMar>
              <w:left w:w="100" w:type="dxa"/>
              <w:right w:w="100" w:type="dxa"/>
            </w:tcMar>
          </w:tcPr>
          <w:p>
            <w:pPr>
              <w:spacing w:before="40" w:after="40"/>
            </w:pPr>
            <w:r>
              <w:rPr>
                <w:b/>
              </w:rPr>
              <w:t xml:space="preserve">Hostinger, renovación</w:t>
            </w:r>
          </w:p>
        </w:tc>
      </w:tr>
      <w:tr>
        <w:trPr>
          <w:cantSplit/>
        </w:trPr>
        <w:tc>
          <w:tcPr>
            <w:tcW w:w="1300" w:type="dxa"/>
            <w:shd w:val="clear" w:color="auto" w:fill="EAF1FB"/>
            <w:tcMar>
              <w:left w:w="100" w:type="dxa"/>
              <w:right w:w="100" w:type="dxa"/>
            </w:tcMar>
          </w:tcPr>
          <w:p>
            <w:pPr>
              <w:spacing w:before="40" w:after="40"/>
            </w:pPr>
            <w:r>
              <w:rPr>
                <w:b/>
              </w:rPr>
              <w:t xml:space="preserve">.com</w:t>
            </w:r>
          </w:p>
        </w:tc>
        <w:tc>
          <w:tcPr>
            <w:tcW w:w="1900" w:type="dxa"/>
            <w:shd w:val="clear" w:color="auto" w:fill="EAF1FB"/>
            <w:tcMar>
              <w:left w:w="100" w:type="dxa"/>
              <w:right w:w="100" w:type="dxa"/>
            </w:tcMar>
          </w:tcPr>
          <w:p>
            <w:pPr>
              <w:spacing w:before="40" w:after="40"/>
              <w:jc w:val="right"/>
            </w:pPr>
            <w:r>
              <w:t xml:space="preserve">35.994</w:t>
            </w:r>
          </w:p>
        </w:tc>
        <w:tc>
          <w:tcPr>
            <w:tcW w:w="1900" w:type="dxa"/>
            <w:shd w:val="clear" w:color="auto" w:fill="EAF1FB"/>
            <w:tcMar>
              <w:left w:w="100" w:type="dxa"/>
              <w:right w:w="100" w:type="dxa"/>
            </w:tcMar>
          </w:tcPr>
          <w:p>
            <w:pPr>
              <w:spacing w:before="40" w:after="40"/>
              <w:jc w:val="right"/>
            </w:pPr>
            <w:r>
              <w:t xml:space="preserve">99.990</w:t>
            </w:r>
          </w:p>
        </w:tc>
        <w:tc>
          <w:tcPr>
            <w:tcW w:w="2260" w:type="dxa"/>
            <w:shd w:val="clear" w:color="auto" w:fill="EAF1FB"/>
            <w:tcMar>
              <w:left w:w="100" w:type="dxa"/>
              <w:right w:w="100" w:type="dxa"/>
            </w:tcMar>
          </w:tcPr>
          <w:p>
            <w:pPr>
              <w:spacing w:before="40" w:after="40"/>
              <w:jc w:val="right"/>
            </w:pPr>
            <w:r>
              <w:t xml:space="preserve">1 (con plazo de 3 años)</w:t>
            </w:r>
          </w:p>
        </w:tc>
        <w:tc>
          <w:tcPr>
            <w:tcW w:w="2000" w:type="dxa"/>
            <w:shd w:val="clear" w:color="auto" w:fill="EAF1FB"/>
            <w:tcMar>
              <w:left w:w="100" w:type="dxa"/>
              <w:right w:w="100" w:type="dxa"/>
            </w:tcMar>
          </w:tcPr>
          <w:p>
            <w:pPr>
              <w:spacing w:before="40" w:after="40"/>
              <w:jc w:val="right"/>
            </w:pPr>
            <w:r>
              <w:t xml:space="preserve">61.900</w:t>
            </w:r>
          </w:p>
        </w:tc>
      </w:tr>
      <w:tr>
        <w:trPr>
          <w:cantSplit/>
        </w:trPr>
        <w:tc>
          <w:tcPr>
            <w:tcW w:w="1300" w:type="dxa"/>
            <w:tcMar>
              <w:left w:w="100" w:type="dxa"/>
              <w:right w:w="100" w:type="dxa"/>
            </w:tcMar>
          </w:tcPr>
          <w:p>
            <w:pPr>
              <w:spacing w:before="40" w:after="40"/>
            </w:pPr>
            <w:r>
              <w:rPr>
                <w:b/>
              </w:rPr>
              <w:t xml:space="preserve">.com.co</w:t>
            </w:r>
          </w:p>
        </w:tc>
        <w:tc>
          <w:tcPr>
            <w:tcW w:w="1900" w:type="dxa"/>
            <w:tcMar>
              <w:left w:w="100" w:type="dxa"/>
              <w:right w:w="100" w:type="dxa"/>
            </w:tcMar>
          </w:tcPr>
          <w:p>
            <w:pPr>
              <w:spacing w:before="40" w:after="40"/>
              <w:jc w:val="right"/>
            </w:pPr>
            <w:r>
              <w:t xml:space="preserve">68.994</w:t>
            </w:r>
          </w:p>
        </w:tc>
        <w:tc>
          <w:tcPr>
            <w:tcW w:w="1900" w:type="dxa"/>
            <w:tcMar>
              <w:left w:w="100" w:type="dxa"/>
              <w:right w:w="100" w:type="dxa"/>
            </w:tcMar>
          </w:tcPr>
          <w:p>
            <w:pPr>
              <w:spacing w:before="40" w:after="40"/>
              <w:jc w:val="right"/>
            </w:pPr>
            <w:r>
              <w:t xml:space="preserve">149.990</w:t>
            </w:r>
          </w:p>
        </w:tc>
        <w:tc>
          <w:tcPr>
            <w:tcW w:w="2260" w:type="dxa"/>
            <w:tcMar>
              <w:left w:w="100" w:type="dxa"/>
              <w:right w:w="100" w:type="dxa"/>
            </w:tcMar>
          </w:tcPr>
          <w:p>
            <w:pPr>
              <w:spacing w:before="40" w:after="40"/>
              <w:jc w:val="right"/>
            </w:pPr>
            <w:r>
              <w:t xml:space="preserve">No aparece en la captura</w:t>
            </w:r>
          </w:p>
        </w:tc>
        <w:tc>
          <w:tcPr>
            <w:tcW w:w="2000" w:type="dxa"/>
            <w:tcMar>
              <w:left w:w="100" w:type="dxa"/>
              <w:right w:w="100" w:type="dxa"/>
            </w:tcMar>
          </w:tcPr>
          <w:p>
            <w:pPr>
              <w:spacing w:before="40" w:after="40"/>
              <w:jc w:val="right"/>
            </w:pPr>
            <w:r>
              <w:t xml:space="preserve">No aparece en la captura</w:t>
            </w:r>
          </w:p>
        </w:tc>
      </w:tr>
      <w:tr>
        <w:trPr>
          <w:cantSplit/>
        </w:trPr>
        <w:tc>
          <w:tcPr>
            <w:tcW w:w="1300" w:type="dxa"/>
            <w:tcMar>
              <w:left w:w="100" w:type="dxa"/>
              <w:right w:w="100" w:type="dxa"/>
            </w:tcMar>
          </w:tcPr>
          <w:p>
            <w:pPr>
              <w:spacing w:before="40" w:after="40"/>
            </w:pPr>
            <w:r>
              <w:rPr>
                <w:b/>
              </w:rPr>
              <w:t xml:space="preserve">.co</w:t>
            </w:r>
          </w:p>
        </w:tc>
        <w:tc>
          <w:tcPr>
            <w:tcW w:w="1900" w:type="dxa"/>
            <w:tcMar>
              <w:left w:w="100" w:type="dxa"/>
              <w:right w:w="100" w:type="dxa"/>
            </w:tcMar>
          </w:tcPr>
          <w:p>
            <w:pPr>
              <w:spacing w:before="40" w:after="40"/>
              <w:jc w:val="right"/>
            </w:pPr>
            <w:r>
              <w:t xml:space="preserve">89.994</w:t>
            </w:r>
          </w:p>
        </w:tc>
        <w:tc>
          <w:tcPr>
            <w:tcW w:w="1900" w:type="dxa"/>
            <w:tcMar>
              <w:left w:w="100" w:type="dxa"/>
              <w:right w:w="100" w:type="dxa"/>
            </w:tcMar>
          </w:tcPr>
          <w:p>
            <w:pPr>
              <w:spacing w:before="40" w:after="40"/>
              <w:jc w:val="right"/>
            </w:pPr>
            <w:r>
              <w:t xml:space="preserve">229.990</w:t>
            </w:r>
          </w:p>
        </w:tc>
        <w:tc>
          <w:tcPr>
            <w:tcW w:w="2260" w:type="dxa"/>
            <w:tcMar>
              <w:left w:w="100" w:type="dxa"/>
              <w:right w:w="100" w:type="dxa"/>
            </w:tcMar>
          </w:tcPr>
          <w:p>
            <w:pPr>
              <w:spacing w:before="40" w:after="40"/>
              <w:jc w:val="right"/>
            </w:pPr>
            <w:r>
              <w:t xml:space="preserve">91.900</w:t>
            </w:r>
          </w:p>
        </w:tc>
        <w:tc>
          <w:tcPr>
            <w:tcW w:w="2000" w:type="dxa"/>
            <w:tcMar>
              <w:left w:w="100" w:type="dxa"/>
              <w:right w:w="100" w:type="dxa"/>
            </w:tcMar>
          </w:tcPr>
          <w:p>
            <w:pPr>
              <w:spacing w:before="40" w:after="40"/>
              <w:jc w:val="right"/>
            </w:pPr>
            <w:r>
              <w:t xml:space="preserve">113.900</w:t>
            </w:r>
          </w:p>
        </w:tc>
      </w:tr>
    </w:tbl>
    <w:p>
      <w:pPr>
        <w:spacing w:after="120"/>
      </w:pPr>
    </w:p>
    <w:p>
      <w:r>
        <w:rPr>
          <w:color w:val="595959"/>
          <w:sz w:val="20"/>
          <w:szCs w:val="20"/>
        </w:rPr>
        <w:t xml:space="preserve">Los precios de micom.co corresponden a la promoción Hot Days (40 % de descuento) vigente hasta el 23/10/2026; su precio normal en primer año es: .com 59.990, .com.co 114.990 y .co 149.990. La promoción de Hostinger para .com está sujeta a un plazo de 3 años; confirme el valor total al pagar.</w:t>
      </w:r>
    </w:p>
    <w:p>
      <w:r>
        <w:rPr>
          <w:b/>
        </w:rPr>
        <w:t xml:space="preserve">Recomendación:</w:t>
      </w:r>
      <w:r>
        <w:t xml:space="preserve"> balderingenieria.com. Es la extensión más reconocida, la más económica de renovar y la que más fácil se recuerda. Conviene comparar el precio de renovación y no solo el del primer año: por ejemplo, renovar un .co cuesta 229.990 en un proveedor y 113.900 en el otro. Si el servidor se contrata en Hostinger, comprar allí el dominio simplifica la configuración (todo en un solo panel). El dominio debe quedar registrado a nombre de la empresa (razón social y NIT).</w:t>
      </w:r>
    </w:p>
    <w:p>
      <w:pPr>
        <w:pStyle w:val="Heading1"/>
        <w:keepNext/>
      </w:pPr>
      <w:r>
        <w:t xml:space="preserve">6. Costo estimado</w:t>
      </w:r>
    </w:p>
    <w:p>
      <w:r>
        <w:t xml:space="preserve">Escenarios para los dos primeros años, con dominio .com de micom.co (COP 35.994 el primer año y 99.990 la renovación):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700"/>
        <w:gridCol w:w="1300"/>
        <w:gridCol w:w="2260"/>
        <w:gridCol w:w="1700"/>
        <w:gridCol w:w="1400"/>
      </w:tblGrid>
      <w:tr>
        <w:trPr>
          <w:cantSplit/>
          <w:tblHeader/>
        </w:trPr>
        <w:tc>
          <w:tcPr>
            <w:tcW w:w="2700" w:type="dxa"/>
            <w:shd w:val="clear" w:color="auto" w:fill="D9E2F3"/>
            <w:tcMar>
              <w:left w:w="100" w:type="dxa"/>
              <w:right w:w="100" w:type="dxa"/>
            </w:tcMar>
          </w:tcPr>
          <w:p>
            <w:pPr>
              <w:spacing w:before="40" w:after="40"/>
            </w:pPr>
            <w:r>
              <w:rPr>
                <w:b/>
              </w:rPr>
              <w:t xml:space="preserve">Escenario</w:t>
            </w:r>
          </w:p>
        </w:tc>
        <w:tc>
          <w:tcPr>
            <w:tcW w:w="1300" w:type="dxa"/>
            <w:shd w:val="clear" w:color="auto" w:fill="D9E2F3"/>
            <w:tcMar>
              <w:left w:w="100" w:type="dxa"/>
              <w:right w:w="100" w:type="dxa"/>
            </w:tcMar>
          </w:tcPr>
          <w:p>
            <w:pPr>
              <w:spacing w:before="40" w:after="40"/>
            </w:pPr>
            <w:r>
              <w:rPr>
                <w:b/>
              </w:rPr>
              <w:t xml:space="preserve">Pago inicial</w:t>
            </w:r>
          </w:p>
        </w:tc>
        <w:tc>
          <w:tcPr>
            <w:tcW w:w="2260" w:type="dxa"/>
            <w:shd w:val="clear" w:color="auto" w:fill="D9E2F3"/>
            <w:tcMar>
              <w:left w:w="100" w:type="dxa"/>
              <w:right w:w="100" w:type="dxa"/>
            </w:tcMar>
          </w:tcPr>
          <w:p>
            <w:pPr>
              <w:spacing w:before="40" w:after="40"/>
            </w:pPr>
            <w:r>
              <w:rPr>
                <w:b/>
              </w:rPr>
              <w:t xml:space="preserve">Segundo año</w:t>
            </w:r>
          </w:p>
        </w:tc>
        <w:tc>
          <w:tcPr>
            <w:tcW w:w="1700" w:type="dxa"/>
            <w:shd w:val="clear" w:color="auto" w:fill="D9E2F3"/>
            <w:tcMar>
              <w:left w:w="100" w:type="dxa"/>
              <w:right w:w="100" w:type="dxa"/>
            </w:tcMar>
          </w:tcPr>
          <w:p>
            <w:pPr>
              <w:spacing w:before="40" w:after="40"/>
            </w:pPr>
            <w:r>
              <w:rPr>
                <w:b/>
              </w:rPr>
              <w:t xml:space="preserve">Total 2 años</w:t>
            </w:r>
          </w:p>
        </w:tc>
        <w:tc>
          <w:tcPr>
            <w:tcW w:w="1400" w:type="dxa"/>
            <w:shd w:val="clear" w:color="auto" w:fill="D9E2F3"/>
            <w:tcMar>
              <w:left w:w="100" w:type="dxa"/>
              <w:right w:w="100" w:type="dxa"/>
            </w:tcMar>
          </w:tcPr>
          <w:p>
            <w:pPr>
              <w:spacing w:before="40" w:after="40"/>
            </w:pPr>
            <w:r>
              <w:rPr>
                <w:b/>
              </w:rPr>
              <w:t xml:space="preserve">Promedio mensual</w:t>
            </w:r>
          </w:p>
        </w:tc>
      </w:tr>
      <w:tr>
        <w:trPr>
          <w:cantSplit/>
        </w:trPr>
        <w:tc>
          <w:tcPr>
            <w:tcW w:w="2700" w:type="dxa"/>
            <w:shd w:val="clear" w:color="auto" w:fill="EAF1FB"/>
            <w:tcMar>
              <w:left w:w="100" w:type="dxa"/>
              <w:right w:w="100" w:type="dxa"/>
            </w:tcMar>
          </w:tcPr>
          <w:p>
            <w:pPr>
              <w:spacing w:before="40" w:after="40"/>
            </w:pPr>
            <w:r>
              <w:rPr>
                <w:b/>
              </w:rPr>
              <w:t xml:space="preserve">A. KVM 2 por 24 meses + dominio (recomendado)</w:t>
            </w:r>
          </w:p>
        </w:tc>
        <w:tc>
          <w:tcPr>
            <w:tcW w:w="1300" w:type="dxa"/>
            <w:shd w:val="clear" w:color="auto" w:fill="EAF1FB"/>
            <w:tcMar>
              <w:left w:w="100" w:type="dxa"/>
              <w:right w:w="100" w:type="dxa"/>
            </w:tcMar>
          </w:tcPr>
          <w:p>
            <w:pPr>
              <w:spacing w:before="40" w:after="40"/>
              <w:jc w:val="right"/>
            </w:pPr>
            <w:r>
              <w:t xml:space="preserve">705.594</w:t>
            </w:r>
          </w:p>
        </w:tc>
        <w:tc>
          <w:tcPr>
            <w:tcW w:w="2260" w:type="dxa"/>
            <w:shd w:val="clear" w:color="auto" w:fill="EAF1FB"/>
            <w:tcMar>
              <w:left w:w="100" w:type="dxa"/>
              <w:right w:w="100" w:type="dxa"/>
            </w:tcMar>
          </w:tcPr>
          <w:p>
            <w:pPr>
              <w:spacing w:before="40" w:after="40"/>
              <w:jc w:val="right"/>
            </w:pPr>
            <w:r>
              <w:t xml:space="preserve">99.990 (solo renovación del dominio)</w:t>
            </w:r>
          </w:p>
        </w:tc>
        <w:tc>
          <w:tcPr>
            <w:tcW w:w="1700" w:type="dxa"/>
            <w:shd w:val="clear" w:color="auto" w:fill="EAF1FB"/>
            <w:tcMar>
              <w:left w:w="100" w:type="dxa"/>
              <w:right w:w="100" w:type="dxa"/>
            </w:tcMar>
          </w:tcPr>
          <w:p>
            <w:pPr>
              <w:spacing w:before="40" w:after="40"/>
              <w:jc w:val="right"/>
            </w:pPr>
            <w:r>
              <w:t xml:space="preserve">805.584</w:t>
            </w:r>
          </w:p>
        </w:tc>
        <w:tc>
          <w:tcPr>
            <w:tcW w:w="1400" w:type="dxa"/>
            <w:shd w:val="clear" w:color="auto" w:fill="EAF1FB"/>
            <w:tcMar>
              <w:left w:w="100" w:type="dxa"/>
              <w:right w:w="100" w:type="dxa"/>
            </w:tcMar>
          </w:tcPr>
          <w:p>
            <w:pPr>
              <w:spacing w:before="40" w:after="40"/>
              <w:jc w:val="right"/>
            </w:pPr>
            <w:r>
              <w:t xml:space="preserve">≈ 33.566</w:t>
            </w:r>
          </w:p>
        </w:tc>
      </w:tr>
      <w:tr>
        <w:trPr>
          <w:cantSplit/>
        </w:trPr>
        <w:tc>
          <w:tcPr>
            <w:tcW w:w="2700" w:type="dxa"/>
            <w:tcMar>
              <w:left w:w="100" w:type="dxa"/>
              <w:right w:w="100" w:type="dxa"/>
            </w:tcMar>
          </w:tcPr>
          <w:p>
            <w:pPr>
              <w:spacing w:before="40" w:after="40"/>
            </w:pPr>
            <w:r>
              <w:rPr>
                <w:b/>
              </w:rPr>
              <w:t xml:space="preserve">B. KVM 2 por 12 meses + dominio</w:t>
            </w:r>
          </w:p>
        </w:tc>
        <w:tc>
          <w:tcPr>
            <w:tcW w:w="1300" w:type="dxa"/>
            <w:tcMar>
              <w:left w:w="100" w:type="dxa"/>
              <w:right w:w="100" w:type="dxa"/>
            </w:tcMar>
          </w:tcPr>
          <w:p>
            <w:pPr>
              <w:spacing w:before="40" w:after="40"/>
              <w:jc w:val="right"/>
            </w:pPr>
            <w:r>
              <w:t xml:space="preserve">430.794</w:t>
            </w:r>
          </w:p>
        </w:tc>
        <w:tc>
          <w:tcPr>
            <w:tcW w:w="2260" w:type="dxa"/>
            <w:tcMar>
              <w:left w:w="100" w:type="dxa"/>
              <w:right w:w="100" w:type="dxa"/>
            </w:tcMar>
          </w:tcPr>
          <w:p>
            <w:pPr>
              <w:spacing w:before="40" w:after="40"/>
              <w:jc w:val="right"/>
            </w:pPr>
            <w:r>
              <w:t xml:space="preserve">794.790 (hosting 694.800 + dominio 99.990)</w:t>
            </w:r>
          </w:p>
        </w:tc>
        <w:tc>
          <w:tcPr>
            <w:tcW w:w="1700" w:type="dxa"/>
            <w:tcMar>
              <w:left w:w="100" w:type="dxa"/>
              <w:right w:w="100" w:type="dxa"/>
            </w:tcMar>
          </w:tcPr>
          <w:p>
            <w:pPr>
              <w:spacing w:before="40" w:after="40"/>
              <w:jc w:val="right"/>
            </w:pPr>
            <w:r>
              <w:t xml:space="preserve">1.225.584</w:t>
            </w:r>
          </w:p>
        </w:tc>
        <w:tc>
          <w:tcPr>
            <w:tcW w:w="1400" w:type="dxa"/>
            <w:tcMar>
              <w:left w:w="100" w:type="dxa"/>
              <w:right w:w="100" w:type="dxa"/>
            </w:tcMar>
          </w:tcPr>
          <w:p>
            <w:pPr>
              <w:spacing w:before="40" w:after="40"/>
              <w:jc w:val="right"/>
            </w:pPr>
            <w:r>
              <w:t xml:space="preserve">≈ 51.066</w:t>
            </w:r>
          </w:p>
        </w:tc>
      </w:tr>
      <w:tr>
        <w:trPr>
          <w:cantSplit/>
        </w:trPr>
        <w:tc>
          <w:tcPr>
            <w:tcW w:w="2700" w:type="dxa"/>
            <w:tcMar>
              <w:left w:w="100" w:type="dxa"/>
              <w:right w:w="100" w:type="dxa"/>
            </w:tcMar>
          </w:tcPr>
          <w:p>
            <w:pPr>
              <w:spacing w:before="40" w:after="40"/>
            </w:pPr>
            <w:r>
              <w:rPr>
                <w:b/>
              </w:rPr>
              <w:t xml:space="preserve">C. AWS (estimado, US$ 30 a 40 al mes)</w:t>
            </w:r>
          </w:p>
        </w:tc>
        <w:tc>
          <w:tcPr>
            <w:tcW w:w="1300" w:type="dxa"/>
            <w:tcMar>
              <w:left w:w="100" w:type="dxa"/>
              <w:right w:w="100" w:type="dxa"/>
            </w:tcMar>
          </w:tcPr>
          <w:p>
            <w:pPr>
              <w:spacing w:before="40" w:after="40"/>
              <w:jc w:val="right"/>
            </w:pPr>
            <w:r>
              <w:t xml:space="preserve">Pago mensual</w:t>
            </w:r>
          </w:p>
        </w:tc>
        <w:tc>
          <w:tcPr>
            <w:tcW w:w="2260" w:type="dxa"/>
            <w:tcMar>
              <w:left w:w="100" w:type="dxa"/>
              <w:right w:w="100" w:type="dxa"/>
            </w:tcMar>
          </w:tcPr>
          <w:p>
            <w:pPr>
              <w:spacing w:before="40" w:after="40"/>
              <w:jc w:val="right"/>
            </w:pPr>
            <w:r>
              <w:t xml:space="preserve">Pago mensual</w:t>
            </w:r>
          </w:p>
        </w:tc>
        <w:tc>
          <w:tcPr>
            <w:tcW w:w="1700" w:type="dxa"/>
            <w:tcMar>
              <w:left w:w="100" w:type="dxa"/>
              <w:right w:w="100" w:type="dxa"/>
            </w:tcMar>
          </w:tcPr>
          <w:p>
            <w:pPr>
              <w:spacing w:before="40" w:after="40"/>
              <w:jc w:val="right"/>
            </w:pPr>
            <w:r>
              <w:t xml:space="preserve">2.880.000 a 3.840.000</w:t>
            </w:r>
          </w:p>
        </w:tc>
        <w:tc>
          <w:tcPr>
            <w:tcW w:w="1400" w:type="dxa"/>
            <w:tcMar>
              <w:left w:w="100" w:type="dxa"/>
              <w:right w:w="100" w:type="dxa"/>
            </w:tcMar>
          </w:tcPr>
          <w:p>
            <w:pPr>
              <w:spacing w:before="40" w:after="40"/>
              <w:jc w:val="right"/>
            </w:pPr>
            <w:r>
              <w:t xml:space="preserve">120.000 a 160.000</w:t>
            </w:r>
          </w:p>
        </w:tc>
      </w:tr>
    </w:tbl>
    <w:p>
      <w:pPr>
        <w:spacing w:after="120"/>
      </w:pPr>
    </w:p>
    <w:p>
      <w:r>
        <w:rPr>
          <w:color w:val="595959"/>
          <w:sz w:val="20"/>
          <w:szCs w:val="20"/>
        </w:rPr>
        <w:t xml:space="preserve">Cifras en pesos colombianos. El escenario C usa una tasa de referencia de COP 4.000 por dólar, solo para comparar; el valor real varía. No incluyen el correo corporativo ni los impuestos, si el proveedor los cobra aparte. Los precios provienen de las páginas de los proveedores el 23/10/2026 y pueden cambiar, en especial las promociones por tiempo limitado.</w:t>
      </w:r>
    </w:p>
    <w:p>
      <w:pPr>
        <w:pStyle w:val="Heading1"/>
        <w:keepNext/>
      </w:pPr>
      <w:r>
        <w:t xml:space="preserve">7. Pasos para que la empresa contrate</w:t>
      </w:r>
    </w:p>
    <w:p>
      <w:pPr>
        <w:spacing w:after="100"/>
      </w:pPr>
      <w:r>
        <w:t xml:space="preserve">Pasos para la Opción A (la recomendada). Si la empresa prefiere AWS, el proceso es equivalente: cuenta a nombre de la empresa, tarjeta y un usuario de acceso limitado para el desarrollador; lo guiamos igualmente.</w:t>
      </w:r>
    </w:p>
    <w:p>
      <w:pPr>
        <w:numPr>
          <w:ilvl w:val="0"/>
          <w:numId w:val="10"/>
        </w:numPr>
        <w:spacing w:after="80"/>
      </w:pPr>
      <w:r>
        <w:rPr>
          <w:b/>
        </w:rPr>
        <w:t xml:space="preserve">Decidir.</w:t>
      </w:r>
      <w:r>
        <w:t xml:space="preserve"> Marcar en la sección 9 la opción de hosting y el nombre del dominio, y responder este documento.</w:t>
      </w:r>
    </w:p>
    <w:p>
      <w:pPr>
        <w:numPr>
          <w:ilvl w:val="0"/>
          <w:numId w:val="10"/>
        </w:numPr>
        <w:spacing w:after="80"/>
      </w:pPr>
      <w:r>
        <w:rPr>
          <w:b/>
        </w:rPr>
        <w:t xml:space="preserve">Designar un responsable</w:t>
      </w:r>
      <w:r>
        <w:t xml:space="preserve"> y un correo de la empresa (no personal) para crear las cuentas.</w:t>
      </w:r>
    </w:p>
    <w:p>
      <w:pPr>
        <w:numPr>
          <w:ilvl w:val="0"/>
          <w:numId w:val="10"/>
        </w:numPr>
        <w:spacing w:after="80"/>
      </w:pPr>
      <w:r>
        <w:rPr>
          <w:b/>
        </w:rPr>
        <w:t xml:space="preserve">Crear la cuenta en Hostinger</w:t>
      </w:r>
      <w:r>
        <w:t xml:space="preserve"> (sitio en español para Colombia) con ese correo y activar la verificación en dos pasos.</w:t>
      </w:r>
    </w:p>
    <w:p>
      <w:pPr>
        <w:numPr>
          <w:ilvl w:val="0"/>
          <w:numId w:val="10"/>
        </w:numPr>
        <w:spacing w:after="80"/>
      </w:pPr>
      <w:r>
        <w:rPr>
          <w:b/>
        </w:rPr>
        <w:t xml:space="preserve">Contratar el plan</w:t>
      </w:r>
      <w:r>
        <w:t xml:space="preserve"> de servidor elegido. Durante la llamada, el desarrollador le indica qué opciones marcar (sistema operativo, ubicación y la llave pública de acceso, que no es secreta).</w:t>
      </w:r>
    </w:p>
    <w:p>
      <w:pPr>
        <w:numPr>
          <w:ilvl w:val="0"/>
          <w:numId w:val="10"/>
        </w:numPr>
        <w:spacing w:after="80"/>
      </w:pPr>
      <w:r>
        <w:rPr>
          <w:b/>
        </w:rPr>
        <w:t xml:space="preserve">Registrar el dominio</w:t>
      </w:r>
      <w:r>
        <w:t xml:space="preserve"> a nombre de la empresa (razón social y NIT), en Hostinger o en el proveedor elegido.</w:t>
      </w:r>
    </w:p>
    <w:p>
      <w:pPr>
        <w:numPr>
          <w:ilvl w:val="0"/>
          <w:numId w:val="10"/>
        </w:numPr>
        <w:spacing w:after="80"/>
      </w:pPr>
      <w:r>
        <w:rPr>
          <w:b/>
        </w:rPr>
        <w:t xml:space="preserve">Pagar</w:t>
      </w:r>
      <w:r>
        <w:t xml:space="preserve"> con la tarjeta de la empresa y conservar las facturas a nombre de la empresa.</w:t>
      </w:r>
    </w:p>
    <w:p>
      <w:pPr>
        <w:numPr>
          <w:ilvl w:val="0"/>
          <w:numId w:val="10"/>
        </w:numPr>
        <w:spacing w:after="80"/>
      </w:pPr>
      <w:r>
        <w:rPr>
          <w:b/>
        </w:rPr>
        <w:t xml:space="preserve">Llamada de unos 45 minutos</w:t>
      </w:r>
      <w:r>
        <w:t xml:space="preserve"> con pantalla compartida: el desarrollador guía y la empresa escribe sus propias claves; nunca las comparte.</w:t>
      </w:r>
    </w:p>
    <w:p>
      <w:pPr>
        <w:numPr>
          <w:ilvl w:val="0"/>
          <w:numId w:val="10"/>
        </w:numPr>
        <w:spacing w:after="80"/>
      </w:pPr>
      <w:r>
        <w:rPr>
          <w:b/>
        </w:rPr>
        <w:t xml:space="preserve">Dar acceso al desarrollador</w:t>
      </w:r>
      <w:r>
        <w:t xml:space="preserve"> con los mecanismos propios del proveedor (llave de acceso al servidor y delegación del dominio). La empresa puede revocarlos en cualquier momento.</w:t>
      </w:r>
    </w:p>
    <w:tbl>
      <w:tblPr>
        <w:tblW w:w="9360" w:type="dxa"/>
        <w:tblLayout w:type="fixed"/>
      </w:tblPr>
      <w:tblGrid>
        <w:gridCol w:w="9360"/>
      </w:tblGrid>
      <w:tr>
        <w:trPr>
          <w:cantSplit/>
        </w:trPr>
        <w:tc>
          <w:tcPr>
            <w:tcW w:w="9360" w:type="dxa"/>
            <w:tcBorders>
              <w:left w:val="single" w:sz="36" w:space="0" w:color="C58B00"/>
            </w:tcBorders>
            <w:shd w:val="clear" w:color="auto" w:fill="FFF4D6"/>
            <w:tcMar>
              <w:top w:w="80" w:type="dxa"/>
              <w:left w:w="180" w:type="dxa"/>
              <w:bottom w:w="80" w:type="dxa"/>
              <w:right w:w="140" w:type="dxa"/>
            </w:tcMar>
          </w:tcPr>
          <w:p>
            <w:pPr>
              <w:spacing w:before="60" w:after="60"/>
            </w:pPr>
            <w:r>
              <w:rPr>
                <w:b/>
                <w:color w:val="C58B00"/>
              </w:rPr>
              <w:t xml:space="preserve">Importante: seguridad de las claves</w:t>
            </w:r>
          </w:p>
          <w:p>
            <w:pPr>
              <w:spacing w:after="60"/>
            </w:pPr>
            <w:r>
              <w:t xml:space="preserve">Nunca envíe contraseñas por WhatsApp, correo o chat, ni al desarrollador ni a nadie. Ninguna de las etapas del proceso lo requiere. Si alguien le pide una contraseña, no la entregue.</w:t>
            </w:r>
          </w:p>
        </w:tc>
      </w:tr>
    </w:tbl>
    <w:p>
      <w:pPr>
        <w:spacing w:after="120"/>
      </w:pPr>
    </w:p>
    <w:p>
      <w:pPr>
        <w:pStyle w:val="Heading1"/>
        <w:keepNext/>
      </w:pPr>
      <w:r>
        <w:t xml:space="preserve">8. Después de la contratación</w:t>
      </w:r>
    </w:p>
    <w:p>
      <w:pPr>
        <w:spacing w:after="80"/>
      </w:pPr>
      <w:r>
        <w:t xml:space="preserve">Una vez estén activos el servidor y el dominio, el desarrollador realiza lo siguiente (tiempos estimados, a confirmar):</w:t>
      </w:r>
    </w:p>
    <w:p>
      <w:pPr>
        <w:numPr>
          <w:ilvl w:val="0"/>
          <w:numId w:val="1"/>
        </w:numPr>
        <w:spacing w:after="60"/>
      </w:pPr>
      <w:r>
        <w:t xml:space="preserve">Instalación y configuración segura del servidor, con HTTPS: 1 a 2 días hábiles.</w:t>
      </w:r>
    </w:p>
    <w:p>
      <w:pPr>
        <w:numPr>
          <w:ilvl w:val="0"/>
          <w:numId w:val="1"/>
        </w:numPr>
        <w:spacing w:after="60"/>
      </w:pPr>
      <w:r>
        <w:t xml:space="preserve">Creación del primer usuario gerente y configuración de la empresa y del correo de avisos.</w:t>
      </w:r>
    </w:p>
    <w:p>
      <w:pPr>
        <w:numPr>
          <w:ilvl w:val="0"/>
          <w:numId w:val="1"/>
        </w:numPr>
        <w:spacing w:after="60"/>
      </w:pPr>
      <w:r>
        <w:t xml:space="preserve">Pruebas de punta a punta con datos de ejemplo y prueba de restauración de copias: 1 día hábil.</w:t>
      </w:r>
    </w:p>
    <w:p>
      <w:pPr>
        <w:numPr>
          <w:ilvl w:val="0"/>
          <w:numId w:val="1"/>
        </w:numPr>
        <w:spacing w:after="60"/>
      </w:pPr>
      <w:r>
        <w:t xml:space="preserve">Carga de los datos reales con el importador, una vez la empresa entregue el archivo definitivo.</w:t>
      </w:r>
    </w:p>
    <w:p>
      <w:pPr>
        <w:numPr>
          <w:ilvl w:val="0"/>
          <w:numId w:val="1"/>
        </w:numPr>
        <w:spacing w:after="60"/>
      </w:pPr>
      <w:r>
        <w:t xml:space="preserve">Medición de rendimiento en producción y entrega, con capacitación al equipo.</w:t>
      </w:r>
    </w:p>
    <w:p>
      <w:pPr>
        <w:pStyle w:val="Heading1"/>
        <w:keepNext/>
      </w:pPr>
      <w:r>
        <w:t xml:space="preserve">9. Decisión de la empresa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00"/>
        <w:gridCol w:w="7260"/>
      </w:tblGrid>
      <w:tr>
        <w:trPr>
          <w:cantSplit/>
        </w:trPr>
        <w:tc>
          <w:tcPr>
            <w:tcW w:w="2100" w:type="dxa"/>
            <w:tcMar>
              <w:left w:w="100" w:type="dxa"/>
              <w:right w:w="100" w:type="dxa"/>
            </w:tcMar>
          </w:tcPr>
          <w:p>
            <w:pPr>
              <w:spacing w:before="40" w:after="40"/>
            </w:pPr>
            <w:r>
              <w:rPr>
                <w:b/>
              </w:rPr>
              <w:t xml:space="preserve">Hosting</w:t>
            </w:r>
          </w:p>
        </w:tc>
        <w:tc>
          <w:tcPr>
            <w:tcW w:w="7260" w:type="dxa"/>
            <w:tcMar>
              <w:left w:w="100" w:type="dxa"/>
              <w:right w:w="100" w:type="dxa"/>
            </w:tcMar>
          </w:tcPr>
          <w:p>
            <w:pPr>
              <w:spacing w:before="40" w:after="40"/>
            </w:pPr>
            <w:r>
              <w:t xml:space="preserve">☐ A. VPS Hostinger (plan: ______________)     ☐ B. AWS     ☐ C. Compartido</w:t>
            </w:r>
          </w:p>
        </w:tc>
      </w:tr>
      <w:tr>
        <w:trPr>
          <w:cantSplit/>
        </w:trPr>
        <w:tc>
          <w:tcPr>
            <w:tcW w:w="2100" w:type="dxa"/>
            <w:tcMar>
              <w:left w:w="100" w:type="dxa"/>
              <w:right w:w="100" w:type="dxa"/>
            </w:tcMar>
          </w:tcPr>
          <w:p>
            <w:pPr>
              <w:spacing w:before="40" w:after="40"/>
            </w:pPr>
            <w:r>
              <w:rPr>
                <w:b/>
              </w:rPr>
              <w:t xml:space="preserve">Dominio</w:t>
            </w:r>
          </w:p>
        </w:tc>
        <w:tc>
          <w:tcPr>
            <w:tcW w:w="7260" w:type="dxa"/>
            <w:tcMar>
              <w:left w:w="100" w:type="dxa"/>
              <w:right w:w="100" w:type="dxa"/>
            </w:tcMar>
          </w:tcPr>
          <w:p>
            <w:pPr>
              <w:spacing w:before="40" w:after="40"/>
            </w:pPr>
            <w:r>
              <w:t xml:space="preserve">Nombre y extensión: ______________________________</w:t>
            </w:r>
          </w:p>
        </w:tc>
      </w:tr>
      <w:tr>
        <w:trPr>
          <w:cantSplit/>
        </w:trPr>
        <w:tc>
          <w:tcPr>
            <w:tcW w:w="2100" w:type="dxa"/>
            <w:tcMar>
              <w:left w:w="100" w:type="dxa"/>
              <w:right w:w="100" w:type="dxa"/>
            </w:tcMar>
          </w:tcPr>
          <w:p>
            <w:pPr>
              <w:spacing w:before="40" w:after="40"/>
            </w:pPr>
            <w:r>
              <w:rPr>
                <w:b/>
              </w:rPr>
              <w:t xml:space="preserve">Responsable</w:t>
            </w:r>
          </w:p>
        </w:tc>
        <w:tc>
          <w:tcPr>
            <w:tcW w:w="7260" w:type="dxa"/>
            <w:tcMar>
              <w:left w:w="100" w:type="dxa"/>
              <w:right w:w="100" w:type="dxa"/>
            </w:tcMar>
          </w:tcPr>
          <w:p>
            <w:pPr>
              <w:spacing w:before="40" w:after="40"/>
            </w:pPr>
            <w:r>
              <w:t xml:space="preserve">Nombre: ________________________   Correo de la empresa: ________________________</w:t>
            </w:r>
          </w:p>
        </w:tc>
      </w:tr>
      <w:tr>
        <w:trPr>
          <w:cantSplit/>
        </w:trPr>
        <w:tc>
          <w:tcPr>
            <w:tcW w:w="2100" w:type="dxa"/>
            <w:tcMar>
              <w:left w:w="100" w:type="dxa"/>
              <w:right w:w="100" w:type="dxa"/>
            </w:tcMar>
          </w:tcPr>
          <w:p>
            <w:pPr>
              <w:spacing w:before="40" w:after="40"/>
            </w:pPr>
            <w:r>
              <w:rPr>
                <w:b/>
              </w:rPr>
              <w:t xml:space="preserve">Llamada de contratación</w:t>
            </w:r>
          </w:p>
        </w:tc>
        <w:tc>
          <w:tcPr>
            <w:tcW w:w="7260" w:type="dxa"/>
            <w:tcMar>
              <w:left w:w="100" w:type="dxa"/>
              <w:right w:w="100" w:type="dxa"/>
            </w:tcMar>
          </w:tcPr>
          <w:p>
            <w:pPr>
              <w:spacing w:before="40" w:after="40"/>
            </w:pPr>
            <w:r>
              <w:t xml:space="preserve">Fecha y hora propuestas: ______________________________</w:t>
            </w:r>
          </w:p>
        </w:tc>
      </w:tr>
      <w:tr>
        <w:trPr>
          <w:cantSplit/>
        </w:trPr>
        <w:tc>
          <w:tcPr>
            <w:tcW w:w="2100" w:type="dxa"/>
            <w:tcMar>
              <w:left w:w="100" w:type="dxa"/>
              <w:right w:w="100" w:type="dxa"/>
            </w:tcMar>
          </w:tcPr>
          <w:p>
            <w:pPr>
              <w:spacing w:before="40" w:after="40"/>
            </w:pPr>
            <w:r>
              <w:rPr>
                <w:b/>
              </w:rPr>
              <w:t xml:space="preserve">Aprobación</w:t>
            </w:r>
          </w:p>
        </w:tc>
        <w:tc>
          <w:tcPr>
            <w:tcW w:w="7260" w:type="dxa"/>
            <w:tcMar>
              <w:left w:w="100" w:type="dxa"/>
              <w:right w:w="100" w:type="dxa"/>
            </w:tcMar>
          </w:tcPr>
          <w:p>
            <w:pPr>
              <w:spacing w:before="40" w:after="40"/>
            </w:pPr>
            <w:r>
              <w:t xml:space="preserve">Nombre y cargo: ________________________   Fecha: ______________</w:t>
            </w:r>
          </w:p>
        </w:tc>
      </w:tr>
    </w:tbl>
    <w:p>
      <w:pPr>
        <w:spacing w:after="120"/>
      </w:pPr>
    </w:p>
    <w:p>
      <w:pPr>
        <w:pStyle w:val="Heading1"/>
        <w:pageBreakBefore/>
      </w:pPr>
      <w:r>
        <w:t xml:space="preserve">Anexo. Capturas de pantalla de los proveedores</w:t>
      </w:r>
    </w:p>
    <w:p>
      <w:pPr>
        <w:spacing w:after="160"/>
      </w:pPr>
      <w:r>
        <w:rPr>
          <w:color w:val="595959"/>
          <w:sz w:val="20"/>
          <w:szCs w:val="20"/>
        </w:rPr>
        <w:t xml:space="preserve">Capturas tomadas el 23/10/2026 de las páginas públicas de cada proveedor. Los precios pueden cambiar.</w:t>
      </w:r>
    </w:p>
    <w:p>
      <w:pPr>
        <w:keepNext/>
        <w:spacing w:after="60"/>
        <w:jc w:val="center"/>
      </w:pPr>
      <w:r>
        <w:drawing>
          <wp:inline distT="0" distB="0" distL="0" distR="0">
            <wp:extent cx="5715000" cy="2552700"/>
            <wp:docPr id="1" name="Imagen 1" descr="Anexo 1. Hostinger, servidores VPS: precios con plan de 1 mes."/>
            <wp:cNvGraphicFramePr>
              <a:graphicFrameLocks noChangeAspect="1"/>
            </wp:cNvGraphicFramePr>
            <a:graphic>
              <a:graphicData uri="http://schemas.openxmlformats.org/drawingml/2006/picture">
                <pic:pic>
                  <pic:nvPicPr>
                    <pic:cNvPr id="1" name="6.png"/>
                    <pic:cNvPicPr/>
                  </pic:nvPicPr>
                  <pic:blipFill>
                    <a:blip r:embed="rIdImg1"/>
                    <a:stretch>
                      <a:fillRect/>
                    </a:stretch>
                  </pic:blipFill>
                  <pic:spPr>
                    <a:xfrm>
                      <a:off x="0" y="0"/>
                      <a:ext cx="5715000" cy="2552700"/>
                    </a:xfrm>
                    <a:prstGeom prst="rect">
                      <a:avLst/>
                    </a:prstGeom>
                    <a:ln w="9525">
                      <a:solidFill>
                        <a:srgbClr val="BFBFBF"/>
                      </a:solidFill>
                    </a:ln>
                  </pic:spPr>
                </pic:pic>
              </a:graphicData>
            </a:graphic>
          </wp:inline>
        </w:drawing>
      </w:r>
    </w:p>
    <w:p>
      <w:pPr>
        <w:spacing w:after="240"/>
        <w:jc w:val="center"/>
      </w:pPr>
      <w:r>
        <w:rPr>
          <w:color w:val="595959"/>
          <w:sz w:val="18"/>
          <w:szCs w:val="18"/>
        </w:rPr>
        <w:t xml:space="preserve">Anexo 1. Hostinger, servidores VPS: precios con plan de 1 mes.</w:t>
      </w:r>
    </w:p>
    <w:p>
      <w:pPr>
        <w:keepNext/>
        <w:spacing w:after="60"/>
        <w:jc w:val="center"/>
      </w:pPr>
      <w:r>
        <w:drawing>
          <wp:inline distT="0" distB="0" distL="0" distR="0">
            <wp:extent cx="5715000" cy="2676525"/>
            <wp:docPr id="2" name="Imagen 2" descr="Anexo 2. Hostinger, servidores VPS: precios con plan de 12 meses."/>
            <wp:cNvGraphicFramePr>
              <a:graphicFrameLocks noChangeAspect="1"/>
            </wp:cNvGraphicFramePr>
            <a:graphic>
              <a:graphicData uri="http://schemas.openxmlformats.org/drawingml/2006/picture">
                <pic:pic>
                  <pic:nvPicPr>
                    <pic:cNvPr id="2" name="7.png"/>
                    <pic:cNvPicPr/>
                  </pic:nvPicPr>
                  <pic:blipFill>
                    <a:blip r:embed="rIdImg2"/>
                    <a:stretch>
                      <a:fillRect/>
                    </a:stretch>
                  </pic:blipFill>
                  <pic:spPr>
                    <a:xfrm>
                      <a:off x="0" y="0"/>
                      <a:ext cx="5715000" cy="2676525"/>
                    </a:xfrm>
                    <a:prstGeom prst="rect">
                      <a:avLst/>
                    </a:prstGeom>
                    <a:ln w="9525">
                      <a:solidFill>
                        <a:srgbClr val="BFBFBF"/>
                      </a:solidFill>
                    </a:ln>
                  </pic:spPr>
                </pic:pic>
              </a:graphicData>
            </a:graphic>
          </wp:inline>
        </w:drawing>
      </w:r>
    </w:p>
    <w:p>
      <w:pPr>
        <w:spacing w:after="240"/>
        <w:jc w:val="center"/>
      </w:pPr>
      <w:r>
        <w:rPr>
          <w:color w:val="595959"/>
          <w:sz w:val="18"/>
          <w:szCs w:val="18"/>
        </w:rPr>
        <w:t xml:space="preserve">Anexo 2. Hostinger, servidores VPS: precios con plan de 12 meses.</w:t>
      </w:r>
    </w:p>
    <w:p>
      <w:pPr>
        <w:keepNext/>
        <w:spacing w:after="60"/>
        <w:jc w:val="center"/>
      </w:pPr>
      <w:r>
        <w:drawing>
          <wp:inline distT="0" distB="0" distL="0" distR="0">
            <wp:extent cx="5715000" cy="2695575"/>
            <wp:docPr id="3" name="Imagen 3" descr="Anexo 3. Hostinger, servidores VPS: precios con plan de 24 meses."/>
            <wp:cNvGraphicFramePr>
              <a:graphicFrameLocks noChangeAspect="1"/>
            </wp:cNvGraphicFramePr>
            <a:graphic>
              <a:graphicData uri="http://schemas.openxmlformats.org/drawingml/2006/picture">
                <pic:pic>
                  <pic:nvPicPr>
                    <pic:cNvPr id="3" name="8.png"/>
                    <pic:cNvPicPr/>
                  </pic:nvPicPr>
                  <pic:blipFill>
                    <a:blip r:embed="rIdImg3"/>
                    <a:stretch>
                      <a:fillRect/>
                    </a:stretch>
                  </pic:blipFill>
                  <pic:spPr>
                    <a:xfrm>
                      <a:off x="0" y="0"/>
                      <a:ext cx="5715000" cy="2695575"/>
                    </a:xfrm>
                    <a:prstGeom prst="rect">
                      <a:avLst/>
                    </a:prstGeom>
                    <a:ln w="9525">
                      <a:solidFill>
                        <a:srgbClr val="BFBFBF"/>
                      </a:solidFill>
                    </a:ln>
                  </pic:spPr>
                </pic:pic>
              </a:graphicData>
            </a:graphic>
          </wp:inline>
        </w:drawing>
      </w:r>
    </w:p>
    <w:p>
      <w:pPr>
        <w:spacing w:after="240"/>
        <w:jc w:val="center"/>
      </w:pPr>
      <w:r>
        <w:rPr>
          <w:color w:val="595959"/>
          <w:sz w:val="18"/>
          <w:szCs w:val="18"/>
        </w:rPr>
        <w:t xml:space="preserve">Anexo 3. Hostinger, servidores VPS: precios con plan de 24 meses.</w:t>
      </w:r>
    </w:p>
    <w:p>
      <w:pPr>
        <w:keepNext/>
        <w:spacing w:after="60"/>
        <w:jc w:val="center"/>
      </w:pPr>
      <w:r>
        <w:drawing>
          <wp:inline distT="0" distB="0" distL="0" distR="0">
            <wp:extent cx="5715000" cy="2619375"/>
            <wp:docPr id="4" name="Imagen 4" descr="Anexo 4. Hostinger, precios de dominios por extensión (primer año, renovación y transferencia)."/>
            <wp:cNvGraphicFramePr>
              <a:graphicFrameLocks noChangeAspect="1"/>
            </wp:cNvGraphicFramePr>
            <a:graphic>
              <a:graphicData uri="http://schemas.openxmlformats.org/drawingml/2006/picture">
                <pic:pic>
                  <pic:nvPicPr>
                    <pic:cNvPr id="4" name="9.png"/>
                    <pic:cNvPicPr/>
                  </pic:nvPicPr>
                  <pic:blipFill>
                    <a:blip r:embed="rIdImg4"/>
                    <a:stretch>
                      <a:fillRect/>
                    </a:stretch>
                  </pic:blipFill>
                  <pic:spPr>
                    <a:xfrm>
                      <a:off x="0" y="0"/>
                      <a:ext cx="5715000" cy="2619375"/>
                    </a:xfrm>
                    <a:prstGeom prst="rect">
                      <a:avLst/>
                    </a:prstGeom>
                    <a:ln w="9525">
                      <a:solidFill>
                        <a:srgbClr val="BFBFBF"/>
                      </a:solidFill>
                    </a:ln>
                  </pic:spPr>
                </pic:pic>
              </a:graphicData>
            </a:graphic>
          </wp:inline>
        </w:drawing>
      </w:r>
    </w:p>
    <w:p>
      <w:pPr>
        <w:spacing w:after="240"/>
        <w:jc w:val="center"/>
      </w:pPr>
      <w:r>
        <w:rPr>
          <w:color w:val="595959"/>
          <w:sz w:val="18"/>
          <w:szCs w:val="18"/>
        </w:rPr>
        <w:t xml:space="preserve">Anexo 4. Hostinger, precios de dominios por extensión (primer año, renovación y transferencia).</w:t>
      </w:r>
    </w:p>
    <w:p>
      <w:pPr>
        <w:keepNext/>
        <w:spacing w:after="60"/>
        <w:jc w:val="center"/>
      </w:pPr>
      <w:r>
        <w:drawing>
          <wp:inline distT="0" distB="0" distL="0" distR="0">
            <wp:extent cx="3810000" cy="3971925"/>
            <wp:docPr id="5" name="Imagen 5" descr="Anexo 5. micom.co, búsqueda del dominio balderingenieria en varias extensiones."/>
            <wp:cNvGraphicFramePr>
              <a:graphicFrameLocks noChangeAspect="1"/>
            </wp:cNvGraphicFramePr>
            <a:graphic>
              <a:graphicData uri="http://schemas.openxmlformats.org/drawingml/2006/picture">
                <pic:pic>
                  <pic:nvPicPr>
                    <pic:cNvPr id="5" name="10.png"/>
                    <pic:cNvPicPr/>
                  </pic:nvPicPr>
                  <pic:blipFill>
                    <a:blip r:embed="rIdImg5"/>
                    <a:stretch>
                      <a:fillRect/>
                    </a:stretch>
                  </pic:blipFill>
                  <pic:spPr>
                    <a:xfrm>
                      <a:off x="0" y="0"/>
                      <a:ext cx="3810000" cy="3971925"/>
                    </a:xfrm>
                    <a:prstGeom prst="rect">
                      <a:avLst/>
                    </a:prstGeom>
                    <a:ln w="9525">
                      <a:solidFill>
                        <a:srgbClr val="BFBFBF"/>
                      </a:solidFill>
                    </a:ln>
                  </pic:spPr>
                </pic:pic>
              </a:graphicData>
            </a:graphic>
          </wp:inline>
        </w:drawing>
      </w:r>
    </w:p>
    <w:p>
      <w:pPr>
        <w:spacing w:after="240"/>
        <w:jc w:val="center"/>
      </w:pPr>
      <w:r>
        <w:rPr>
          <w:color w:val="595959"/>
          <w:sz w:val="18"/>
          <w:szCs w:val="18"/>
        </w:rPr>
        <w:t xml:space="preserve">Anexo 5. micom.co, búsqueda del dominio balderingenieria en varias extensiones.</w:t>
      </w:r>
    </w:p>
    <w:p>
      <w:pPr>
        <w:keepNext/>
        <w:spacing w:after="60"/>
        <w:jc w:val="center"/>
      </w:pPr>
      <w:r>
        <w:drawing>
          <wp:inline distT="0" distB="0" distL="0" distR="0">
            <wp:extent cx="4191000" cy="3705225"/>
            <wp:docPr id="6" name="Imagen 6" descr="Anexo 6. micom.co, planes de hosting compartido (Starter, Advanced y Elite)."/>
            <wp:cNvGraphicFramePr>
              <a:graphicFrameLocks noChangeAspect="1"/>
            </wp:cNvGraphicFramePr>
            <a:graphic>
              <a:graphicData uri="http://schemas.openxmlformats.org/drawingml/2006/picture">
                <pic:pic>
                  <pic:nvPicPr>
                    <pic:cNvPr id="6" name="11.png"/>
                    <pic:cNvPicPr/>
                  </pic:nvPicPr>
                  <pic:blipFill>
                    <a:blip r:embed="rIdImg6"/>
                    <a:stretch>
                      <a:fillRect/>
                    </a:stretch>
                  </pic:blipFill>
                  <pic:spPr>
                    <a:xfrm>
                      <a:off x="0" y="0"/>
                      <a:ext cx="4191000" cy="3705225"/>
                    </a:xfrm>
                    <a:prstGeom prst="rect">
                      <a:avLst/>
                    </a:prstGeom>
                    <a:ln w="9525">
                      <a:solidFill>
                        <a:srgbClr val="BFBFBF"/>
                      </a:solidFill>
                    </a:ln>
                  </pic:spPr>
                </pic:pic>
              </a:graphicData>
            </a:graphic>
          </wp:inline>
        </w:drawing>
      </w:r>
    </w:p>
    <w:p>
      <w:pPr>
        <w:spacing w:after="240"/>
        <w:jc w:val="center"/>
      </w:pPr>
      <w:r>
        <w:rPr>
          <w:color w:val="595959"/>
          <w:sz w:val="18"/>
          <w:szCs w:val="18"/>
        </w:rPr>
        <w:t xml:space="preserve">Anexo 6. micom.co, planes de hosting compartido (Starter, Advanced y Elite).</w:t>
      </w:r>
    </w:p>
    <w:sectPr>
      <w:headerReference w:type="default" r:id="rIdHeader"/>
      <w:footerReference w:type="default" r:id="rIdFoote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Página </w:t>
    </w:r>
    <w:r>
      <w:fldChar w:fldCharType="begin"/>
    </w:r>
    <w:r>
      <w:instrText xml:space="preserve"> PAGE </w:instrText>
    </w:r>
    <w:r>
      <w:fldChar w:fldCharType="separate"/>
    </w:r>
    <w:r>
      <w:t>1</w:t>
    </w:r>
    <w:r>
      <w:fldChar w:fldCharType="end"/>
    </w:r>
    <w:r>
      <w:t xml:space="preserve"> de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Propuesta de hosting y dominio · Sistema de gestión de urbanismo</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540" w:hanging="300"/>
      </w:pPr>
      <w:rPr>
        <w:rFonts w:ascii="Arial" w:hAnsi="Arial" w:hint="default"/>
      </w:rPr>
    </w:lvl>
  </w:abstractNum>
  <w:abstractNum w:abstractNumId="2">
    <w:multiLevelType w:val="hybridMultilevel"/>
    <w:lvl w:ilvl="0">
      <w:start w:val="1"/>
      <w:numFmt w:val="decimal"/>
      <w:lvlText w:val="%1."/>
      <w:lvlJc w:val="left"/>
      <w:pPr>
        <w:ind w:left="540" w:hanging="300"/>
      </w:pPr>
    </w:lvl>
  </w:abstractNum>
  <w:num w:numId="1">
    <w:abstractNumId w:val="1"/>
  </w:num>
  <w:num w:numId="10">
    <w:abstractNumId w:val="2"/>
    <w:lvlOverride w:ilvl="0">
      <w:startOverride w:val="1"/>
    </w:lvlOverride>
  </w:num>
</w:numbering>
</file>

<file path=word/styles.xml><?xml version="1.0" encoding="utf-8"?>
<w:styles xmlns:w="http://schemas.openxmlformats.org/wordprocessingml/2006/main">
  <w:docDefaults>
    <w:rPrDefault>
      <w:rPr>
        <w:rFonts w:ascii="Arial" w:hAnsi="Arial" w:cs="Arial" w:eastAsia="Arial"/>
        <w:sz w:val="21"/>
        <w:szCs w:val="21"/>
        <w:lang w:val="es-CO"/>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60"/>
    </w:pPr>
    <w:rPr>
      <w:b/>
      <w:color w:val="1F3A5F"/>
      <w:sz w:val="44"/>
      <w:szCs w:val="44"/>
    </w:rPr>
  </w:style>
  <w:style w:type="paragraph" w:styleId="Subtitle">
    <w:name w:val="Subtitle"/>
    <w:basedOn w:val="Normal"/>
    <w:next w:val="Normal"/>
    <w:qFormat/>
    <w:pPr>
      <w:pBdr>
        <w:bottom w:val="single" w:sz="8" w:space="6" w:color="1F3A5F"/>
      </w:pBdr>
      <w:spacing w:after="240"/>
    </w:pPr>
    <w:rPr>
      <w:color w:val="595959"/>
      <w:sz w:val="26"/>
      <w:szCs w:val="26"/>
    </w:rPr>
  </w:style>
  <w:style w:type="paragraph" w:styleId="Heading1">
    <w:name w:val="heading 1"/>
    <w:basedOn w:val="Normal"/>
    <w:next w:val="Normal"/>
    <w:qFormat/>
    <w:pPr>
      <w:keepNext/>
      <w:spacing w:before="320" w:after="120"/>
      <w:outlineLvl w:val="0"/>
    </w:pPr>
    <w:rPr>
      <w:b/>
      <w:color w:val="1F3A5F"/>
      <w:sz w:val="30"/>
      <w:szCs w:val="30"/>
    </w:rPr>
  </w:style>
  <w:style w:type="paragraph" w:styleId="Heading2">
    <w:name w:val="heading 2"/>
    <w:basedOn w:val="Normal"/>
    <w:next w:val="Normal"/>
    <w:qFormat/>
    <w:pPr>
      <w:keepNext/>
      <w:spacing w:before="220" w:after="80"/>
      <w:outlineLvl w:val="1"/>
    </w:pPr>
    <w:rPr>
      <w:b/>
      <w:color w:val="1F3A5F"/>
      <w:sz w:val="24"/>
      <w:szCs w:val="24"/>
    </w:rPr>
  </w:style>
  <w:style w:type="paragraph" w:styleId="Header">
    <w:name w:val="header"/>
    <w:basedOn w:val="Normal"/>
    <w:pPr>
      <w:spacing w:after="0"/>
    </w:pPr>
    <w:rPr>
      <w:color w:val="595959"/>
      <w:sz w:val="17"/>
      <w:szCs w:val="17"/>
    </w:rPr>
  </w:style>
  <w:style w:type="paragraph" w:styleId="Footer">
    <w:name w:val="footer"/>
    <w:basedOn w:val="Normal"/>
    <w:pPr>
      <w:spacing w:after="0"/>
    </w:pPr>
    <w:rPr>
      <w:color w:val="595959"/>
      <w:sz w:val="17"/>
      <w:szCs w:val="1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6.png"/><Relationship Id="rIdImg2" Type="http://schemas.openxmlformats.org/officeDocument/2006/relationships/image" Target="media/7.png"/><Relationship Id="rIdImg3" Type="http://schemas.openxmlformats.org/officeDocument/2006/relationships/image" Target="media/8.png"/><Relationship Id="rIdImg4" Type="http://schemas.openxmlformats.org/officeDocument/2006/relationships/image" Target="media/9.png"/><Relationship Id="rIdImg5" Type="http://schemas.openxmlformats.org/officeDocument/2006/relationships/image" Target="media/10.png"/><Relationship Id="rIdImg6" Type="http://schemas.openxmlformats.org/officeDocument/2006/relationships/image" Target="media/11.png"/></Relationships>
</file>

<file path=docProps/core.xml><?xml version="1.0" encoding="utf-8"?>
<cp:coreProperties xmlns:cp="http://schemas.openxmlformats.org/package/2006/metadata/core-properties" xmlns:dc="http://purl.org/dc/elements/1.1/" xmlns:dcterms="http://purl.org/dc/terms/" xmlns:xsi="http://www.w3.org/2001/XMLSchema-instance">
  <dc:title>Propuesta de hosting y dominio</dc:title>
  <dc:creator>Desarrollador del sistema</dc:creator>
  <dcterms:created xsi:type="dcterms:W3CDTF">2026-10-23T12:00:00Z</dcterms:created>
</cp:coreProperties>
</file>