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chart2.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3.xml" ContentType="application/vnd.openxmlformats-officedocument.drawingml.chart+xml"/>
  <Override PartName="/word/charts/chart4.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013E8" w14:textId="4C9F9AB6" w:rsidR="00355AA2" w:rsidRDefault="00767002" w:rsidP="00355AA2">
      <w:pPr>
        <w:jc w:val="center"/>
        <w:rPr>
          <w:rFonts w:ascii="Montserrat" w:hAnsi="Montserrat"/>
          <w:b/>
          <w:bCs/>
          <w:sz w:val="40"/>
          <w:szCs w:val="40"/>
          <w:u w:val="single"/>
        </w:rPr>
      </w:pPr>
      <w:r w:rsidRPr="00DC072E">
        <w:rPr>
          <w:rFonts w:ascii="Montserrat" w:hAnsi="Montserrat"/>
          <w:b/>
          <w:bCs/>
          <w:sz w:val="40"/>
          <w:szCs w:val="40"/>
          <w:u w:val="single"/>
        </w:rPr>
        <w:t>STUDENT PERFORMANCE ANALYSIS REPORT</w:t>
      </w:r>
    </w:p>
    <w:p w14:paraId="06D4E3AD" w14:textId="77777777" w:rsidR="00A31A00" w:rsidRPr="00DC072E" w:rsidRDefault="00A31A00" w:rsidP="00355AA2">
      <w:pPr>
        <w:jc w:val="center"/>
        <w:rPr>
          <w:rFonts w:ascii="Montserrat" w:hAnsi="Montserrat"/>
          <w:b/>
          <w:bCs/>
          <w:sz w:val="40"/>
          <w:szCs w:val="40"/>
          <w:u w:val="single"/>
        </w:rPr>
      </w:pPr>
    </w:p>
    <w:p w14:paraId="741B4995" w14:textId="5BE4D027" w:rsidR="00E42BA4" w:rsidRDefault="00E42BA4" w:rsidP="00355AA2">
      <w:pPr>
        <w:rPr>
          <w:rFonts w:ascii="Montserrat" w:hAnsi="Montserrat"/>
          <w:b/>
          <w:bCs/>
        </w:rPr>
      </w:pPr>
      <w:r w:rsidRPr="00E42BA4">
        <w:rPr>
          <w:rFonts w:ascii="Montserrat" w:hAnsi="Montserrat"/>
          <w:b/>
          <w:bCs/>
          <w:u w:val="single"/>
        </w:rPr>
        <w:t>Prepared for:</w:t>
      </w:r>
      <w:r w:rsidRPr="00E42BA4">
        <w:rPr>
          <w:rFonts w:ascii="Montserrat" w:hAnsi="Montserrat"/>
          <w:b/>
          <w:bCs/>
        </w:rPr>
        <w:t xml:space="preserve"> </w:t>
      </w:r>
      <w:r w:rsidR="00537D88">
        <w:rPr>
          <w:rFonts w:ascii="Montserrat" w:hAnsi="Montserrat"/>
          <w:b/>
          <w:bCs/>
        </w:rPr>
        <w:t>Fountain of Knowledge</w:t>
      </w:r>
      <w:r w:rsidRPr="00E42BA4">
        <w:rPr>
          <w:rFonts w:ascii="Montserrat" w:hAnsi="Montserrat"/>
          <w:b/>
          <w:bCs/>
        </w:rPr>
        <w:t xml:space="preserve"> Grammar School Board of Governors</w:t>
      </w:r>
    </w:p>
    <w:p w14:paraId="0757FCEA" w14:textId="77777777" w:rsidR="007B2211" w:rsidRPr="00E42BA4" w:rsidRDefault="007B2211" w:rsidP="00355AA2">
      <w:pPr>
        <w:rPr>
          <w:rFonts w:ascii="Montserrat" w:hAnsi="Montserrat"/>
          <w:b/>
          <w:bCs/>
        </w:rPr>
      </w:pPr>
    </w:p>
    <w:p w14:paraId="7B705B58" w14:textId="2AF2F810" w:rsidR="00E42BA4" w:rsidRPr="00D643DC" w:rsidRDefault="00355AA2" w:rsidP="00E42BA4">
      <w:pPr>
        <w:pStyle w:val="ListParagraph"/>
        <w:numPr>
          <w:ilvl w:val="0"/>
          <w:numId w:val="3"/>
        </w:numPr>
        <w:rPr>
          <w:b/>
          <w:bCs/>
          <w:sz w:val="28"/>
          <w:szCs w:val="28"/>
        </w:rPr>
      </w:pPr>
      <w:r w:rsidRPr="00E42BA4">
        <w:rPr>
          <w:b/>
          <w:bCs/>
          <w:sz w:val="28"/>
          <w:szCs w:val="28"/>
        </w:rPr>
        <w:t>Introduction</w:t>
      </w:r>
    </w:p>
    <w:p w14:paraId="77F4F649" w14:textId="44011FBE" w:rsidR="00E42BA4" w:rsidRDefault="00E42BA4" w:rsidP="00E42BA4">
      <w:r w:rsidRPr="00E42BA4">
        <w:t>This analysis was commissioned by</w:t>
      </w:r>
      <w:r w:rsidR="00537D88">
        <w:t xml:space="preserve"> Fountain of Knowledge</w:t>
      </w:r>
      <w:r w:rsidRPr="00E42BA4">
        <w:t xml:space="preserve"> Grammar School to identify the key drivers of student academic performance and provide data-backed recommendations for improving overall student outcomes. The scope encompasses a comprehensive analysis of student demographics, study habits, support systems, and extracurricular activities.</w:t>
      </w:r>
    </w:p>
    <w:p w14:paraId="7EAB565B" w14:textId="77777777" w:rsidR="00A31A00" w:rsidRDefault="00A31A00" w:rsidP="00E42BA4"/>
    <w:p w14:paraId="10A50108" w14:textId="5D855ADE" w:rsidR="00E42BA4" w:rsidRPr="00E42BA4" w:rsidRDefault="007B2211" w:rsidP="00E42BA4">
      <w:r w:rsidRPr="007B2211">
        <w:rPr>
          <w:b/>
          <w:bCs/>
          <w:sz w:val="28"/>
          <w:szCs w:val="28"/>
          <w:u w:val="single"/>
        </w:rPr>
        <w:t>Problem:</w:t>
      </w:r>
      <w:r>
        <w:t xml:space="preserve"> </w:t>
      </w:r>
      <w:r w:rsidR="00537D88">
        <w:t xml:space="preserve">Fountain of Knowledge </w:t>
      </w:r>
      <w:r w:rsidR="00E42BA4" w:rsidRPr="00E42BA4">
        <w:t>Grammar School has observed varying academic performance across student cohorts and seeks to understand the underlying factors to optimize resource allocation and student support strategies.</w:t>
      </w:r>
    </w:p>
    <w:p w14:paraId="0A436DD6" w14:textId="676909FD" w:rsidR="00E42BA4" w:rsidRDefault="00355AA2" w:rsidP="00355AA2">
      <w:r>
        <w:t xml:space="preserve"> This report analyzes student performance data to identify key factors influencing academic success. The scope </w:t>
      </w:r>
      <w:r w:rsidR="00E23C80">
        <w:t>comprises</w:t>
      </w:r>
      <w:r>
        <w:t xml:space="preserve"> analyzing demographics, study habits, support systems, and extracurricular activities to understand their impact on Grade Point Average (GPA).</w:t>
      </w:r>
    </w:p>
    <w:p w14:paraId="1B22AB5E" w14:textId="77777777" w:rsidR="00A31A00" w:rsidRDefault="00A31A00" w:rsidP="00355AA2"/>
    <w:p w14:paraId="4B33C2AB" w14:textId="03D7A6BE" w:rsidR="00E42BA4" w:rsidRDefault="00E42BA4" w:rsidP="00355AA2">
      <w:r w:rsidRPr="00E42BA4">
        <w:t>This analysis is critical for the school's leadership to make evidence-based decisions regarding tutoring programs, parental engagement initiatives, and extracurricular funding that will directly impact student success and school reputation.</w:t>
      </w:r>
    </w:p>
    <w:p w14:paraId="4EFBCE14" w14:textId="77777777" w:rsidR="005F7A83" w:rsidRDefault="005F7A83" w:rsidP="00355AA2"/>
    <w:p w14:paraId="02F0A6E0" w14:textId="1B6D6657" w:rsidR="00355AA2" w:rsidRPr="00355AA2" w:rsidRDefault="00355AA2" w:rsidP="00355AA2">
      <w:pPr>
        <w:rPr>
          <w:b/>
          <w:bCs/>
          <w:sz w:val="28"/>
          <w:szCs w:val="28"/>
        </w:rPr>
      </w:pPr>
      <w:r w:rsidRPr="00355AA2">
        <w:rPr>
          <w:b/>
          <w:bCs/>
          <w:sz w:val="28"/>
          <w:szCs w:val="28"/>
        </w:rPr>
        <w:t>2. Objective</w:t>
      </w:r>
    </w:p>
    <w:p w14:paraId="2ABA3C36" w14:textId="33958C34" w:rsidR="00355AA2" w:rsidRDefault="00355AA2" w:rsidP="00355AA2">
      <w:r>
        <w:t>The primary goal is to uncover the most significant factors correlated with high and low student GPA to enable targeted interventions.</w:t>
      </w:r>
    </w:p>
    <w:p w14:paraId="45A4A315" w14:textId="48E71988" w:rsidR="00355AA2" w:rsidRDefault="00355AA2" w:rsidP="00355AA2">
      <w:r>
        <w:t xml:space="preserve"> Specific Objectives:</w:t>
      </w:r>
    </w:p>
    <w:p w14:paraId="581130B3" w14:textId="33E58E4A" w:rsidR="00355AA2" w:rsidRDefault="00355AA2" w:rsidP="00355AA2">
      <w:pPr>
        <w:pStyle w:val="ListParagraph"/>
        <w:numPr>
          <w:ilvl w:val="0"/>
          <w:numId w:val="1"/>
        </w:numPr>
      </w:pPr>
      <w:r>
        <w:lastRenderedPageBreak/>
        <w:t>To determine the relationship between study time, tutoring, and GPA.</w:t>
      </w:r>
    </w:p>
    <w:p w14:paraId="2686153A" w14:textId="4A0CFB63" w:rsidR="00355AA2" w:rsidRDefault="00355AA2" w:rsidP="00355AA2">
      <w:pPr>
        <w:pStyle w:val="ListParagraph"/>
        <w:numPr>
          <w:ilvl w:val="0"/>
          <w:numId w:val="1"/>
        </w:numPr>
      </w:pPr>
      <w:r>
        <w:t>To assess the impact of parental education and support levels on academic performance.</w:t>
      </w:r>
      <w:r w:rsidR="003A7A3F">
        <w:t xml:space="preserve">    </w:t>
      </w:r>
    </w:p>
    <w:p w14:paraId="00E90F84" w14:textId="08E8344D" w:rsidR="00355AA2" w:rsidRDefault="00355AA2" w:rsidP="00355AA2">
      <w:pPr>
        <w:pStyle w:val="ListParagraph"/>
        <w:numPr>
          <w:ilvl w:val="0"/>
          <w:numId w:val="1"/>
        </w:numPr>
      </w:pPr>
      <w:r>
        <w:t>To analyze how extracurricular participation and attendance rates correlate with grades.</w:t>
      </w:r>
    </w:p>
    <w:p w14:paraId="3FEB4741" w14:textId="1747A030" w:rsidR="00355AA2" w:rsidRDefault="00355AA2" w:rsidP="00355AA2">
      <w:pPr>
        <w:pStyle w:val="ListParagraph"/>
        <w:numPr>
          <w:ilvl w:val="0"/>
          <w:numId w:val="1"/>
        </w:numPr>
      </w:pPr>
      <w:r>
        <w:t>To create a profile of typical high-achieving and at-risk students</w:t>
      </w:r>
      <w:r w:rsidR="005F7A83">
        <w:t>.</w:t>
      </w:r>
    </w:p>
    <w:p w14:paraId="6BF8D398" w14:textId="77777777" w:rsidR="00A31A00" w:rsidRDefault="00A31A00" w:rsidP="00A31A00">
      <w:pPr>
        <w:pStyle w:val="ListParagraph"/>
      </w:pPr>
    </w:p>
    <w:p w14:paraId="296CC95E" w14:textId="77777777" w:rsidR="00A31A00" w:rsidRDefault="00A31A00" w:rsidP="00A31A00">
      <w:pPr>
        <w:pStyle w:val="ListParagraph"/>
      </w:pPr>
    </w:p>
    <w:p w14:paraId="40196DCE" w14:textId="77777777" w:rsidR="00355AA2" w:rsidRPr="00355AA2" w:rsidRDefault="00355AA2" w:rsidP="00355AA2">
      <w:pPr>
        <w:rPr>
          <w:b/>
          <w:bCs/>
          <w:sz w:val="28"/>
          <w:szCs w:val="28"/>
        </w:rPr>
      </w:pPr>
      <w:r w:rsidRPr="00355AA2">
        <w:rPr>
          <w:b/>
          <w:bCs/>
          <w:sz w:val="28"/>
          <w:szCs w:val="28"/>
        </w:rPr>
        <w:t>3. Data Source</w:t>
      </w:r>
    </w:p>
    <w:p w14:paraId="20AC73EC" w14:textId="07D13692" w:rsidR="00DD6BDE" w:rsidRDefault="00DD6BDE" w:rsidP="00355AA2">
      <w:r w:rsidRPr="00DD6BDE">
        <w:t>Comprehensive student data for the current academic year, covering 2</w:t>
      </w:r>
      <w:r w:rsidR="005F7A83">
        <w:t>,392</w:t>
      </w:r>
      <w:r w:rsidRPr="00DD6BDE">
        <w:t xml:space="preserve"> students enrolled at </w:t>
      </w:r>
      <w:r w:rsidR="00537D88">
        <w:t>Fountain of Knowledge</w:t>
      </w:r>
      <w:r w:rsidRPr="00DD6BDE">
        <w:t xml:space="preserve"> Grammar School.</w:t>
      </w:r>
    </w:p>
    <w:p w14:paraId="6BFF7387" w14:textId="5BBA99D5" w:rsidR="00355AA2" w:rsidRDefault="00355AA2" w:rsidP="00355AA2">
      <w:r>
        <w:t>Key variables include Student ID, Age, Gender, Ethnicity, Parental</w:t>
      </w:r>
      <w:r w:rsidR="00DC072E">
        <w:t xml:space="preserve"> </w:t>
      </w:r>
      <w:r>
        <w:t>Education, Study Time Weekly, Absences, Tutoring, Parental Support, Extracurricular activities (Sports, Music, Volunteering), and the target variable, GPA and Grade Class.</w:t>
      </w:r>
    </w:p>
    <w:p w14:paraId="41FFF7E8" w14:textId="3250A781" w:rsidR="00355AA2" w:rsidRDefault="00355AA2" w:rsidP="00355AA2">
      <w:r w:rsidRPr="00DC072E">
        <w:rPr>
          <w:b/>
          <w:bCs/>
        </w:rPr>
        <w:t>Limitations:</w:t>
      </w:r>
      <w:r>
        <w:t xml:space="preserve"> The data is observational, so it can reveal correlations but not prove causation. The definition of "Parental Support", while informative, is subjective and not quantitatively measured.</w:t>
      </w:r>
    </w:p>
    <w:p w14:paraId="13D64E7C" w14:textId="77777777" w:rsidR="00355AA2" w:rsidRDefault="00355AA2" w:rsidP="00355AA2"/>
    <w:p w14:paraId="1F8D9E4D" w14:textId="77777777" w:rsidR="00355AA2" w:rsidRPr="00355AA2" w:rsidRDefault="00355AA2" w:rsidP="00355AA2">
      <w:pPr>
        <w:rPr>
          <w:b/>
          <w:bCs/>
          <w:sz w:val="28"/>
          <w:szCs w:val="28"/>
        </w:rPr>
      </w:pPr>
      <w:r w:rsidRPr="00355AA2">
        <w:rPr>
          <w:b/>
          <w:bCs/>
          <w:sz w:val="28"/>
          <w:szCs w:val="28"/>
        </w:rPr>
        <w:t>4. Data Cleaning</w:t>
      </w:r>
    </w:p>
    <w:p w14:paraId="73F9E9CD" w14:textId="13FEE855" w:rsidR="00767002" w:rsidRDefault="00355AA2" w:rsidP="00355AA2">
      <w:r>
        <w:t xml:space="preserve">The dataset was initially well-structured. The primary cleaning step involved converting the data range into </w:t>
      </w:r>
      <w:proofErr w:type="gramStart"/>
      <w:r w:rsidR="002A6B00">
        <w:t>appropriate  values</w:t>
      </w:r>
      <w:proofErr w:type="gramEnd"/>
      <w:r w:rsidR="002A6B00">
        <w:t xml:space="preserve"> for </w:t>
      </w:r>
      <w:r w:rsidR="001C1312">
        <w:t>accurate</w:t>
      </w:r>
      <w:r>
        <w:t xml:space="preserve"> analysis. No missing values or duplicates were found in the key fields used for this analysis.</w:t>
      </w:r>
    </w:p>
    <w:p w14:paraId="7E57139B" w14:textId="558B51C3" w:rsidR="00355AA2" w:rsidRDefault="00355AA2" w:rsidP="00355AA2">
      <w:r>
        <w:t>To facilitate analysis, the Study Time Weekly variable was grouped into logical bins (0-5 hours, 6-10 hours, 11-15 hours, 16-20 hours) for trend analysis. A Pass/Fail flag was also created (GPA ≥ 2.0) for certain high-level metrics.</w:t>
      </w:r>
    </w:p>
    <w:p w14:paraId="6D981DFD" w14:textId="77777777" w:rsidR="00355AA2" w:rsidRDefault="00355AA2" w:rsidP="00355AA2"/>
    <w:p w14:paraId="03D422F2" w14:textId="205E779D" w:rsidR="00355AA2" w:rsidRPr="00DC072E" w:rsidRDefault="00355AA2" w:rsidP="00355AA2">
      <w:pPr>
        <w:rPr>
          <w:b/>
          <w:bCs/>
          <w:sz w:val="28"/>
          <w:szCs w:val="28"/>
        </w:rPr>
      </w:pPr>
      <w:r w:rsidRPr="00DC072E">
        <w:rPr>
          <w:b/>
          <w:bCs/>
          <w:sz w:val="28"/>
          <w:szCs w:val="28"/>
        </w:rPr>
        <w:t>5. Analysis</w:t>
      </w:r>
    </w:p>
    <w:p w14:paraId="7C4D6192" w14:textId="5B36D62E" w:rsidR="00355AA2" w:rsidRDefault="00355AA2" w:rsidP="00355AA2">
      <w:r>
        <w:t>The analysis was conducted using descriptive statistics and exploratory data analysis (EDA) primarily through Microsoft Excel PivotTables and Pivot</w:t>
      </w:r>
      <w:r w:rsidR="003C7085">
        <w:t xml:space="preserve"> </w:t>
      </w:r>
      <w:r>
        <w:t>Charts.</w:t>
      </w:r>
    </w:p>
    <w:p w14:paraId="10A06AD7" w14:textId="77777777" w:rsidR="00DC072E" w:rsidRDefault="00355AA2" w:rsidP="00355AA2">
      <w:r>
        <w:t xml:space="preserve"> The core metrics for evaluation were Average GPA, Average Absences, and Count of Students segmented by various factors.</w:t>
      </w:r>
    </w:p>
    <w:p w14:paraId="05BA1F1D" w14:textId="63CF88D3" w:rsidR="00355AA2" w:rsidRDefault="00355AA2" w:rsidP="00355AA2">
      <w:r>
        <w:lastRenderedPageBreak/>
        <w:t>Initial EDA confirmed a wide range of GPAs (0.0 to 4.0) and absence counts (0 to 29), indicating a diverse student population suitable for comparative analysis.</w:t>
      </w:r>
    </w:p>
    <w:p w14:paraId="22F521FD" w14:textId="77777777" w:rsidR="00DC072E" w:rsidRDefault="00DC072E" w:rsidP="00355AA2"/>
    <w:p w14:paraId="775AF020" w14:textId="77777777" w:rsidR="001C1312" w:rsidRDefault="001C1312" w:rsidP="001C1312"/>
    <w:p w14:paraId="5696A5F9" w14:textId="77777777" w:rsidR="001C1312" w:rsidRPr="001C1312" w:rsidRDefault="001C1312" w:rsidP="001C1312">
      <w:pPr>
        <w:rPr>
          <w:b/>
          <w:bCs/>
        </w:rPr>
      </w:pPr>
      <w:r w:rsidRPr="001C1312">
        <w:rPr>
          <w:b/>
          <w:bCs/>
        </w:rPr>
        <w:t>Analysis Questions</w:t>
      </w:r>
    </w:p>
    <w:p w14:paraId="678BD057" w14:textId="77AA2D3E" w:rsidR="001C1312" w:rsidRDefault="001C1312" w:rsidP="001C1312">
      <w:pPr>
        <w:pStyle w:val="ListParagraph"/>
        <w:numPr>
          <w:ilvl w:val="0"/>
          <w:numId w:val="4"/>
        </w:numPr>
      </w:pPr>
      <w:r>
        <w:t>What is the Average GPA and Absence Count by Parental Education Level?</w:t>
      </w:r>
    </w:p>
    <w:p w14:paraId="20A20B34" w14:textId="328D8E35" w:rsidR="001C1312" w:rsidRDefault="001C1312" w:rsidP="001C1312">
      <w:pPr>
        <w:pStyle w:val="ListParagraph"/>
        <w:numPr>
          <w:ilvl w:val="0"/>
          <w:numId w:val="4"/>
        </w:numPr>
      </w:pPr>
      <w:r>
        <w:t>How Does Weekly Study Time Affect the Average GPA, and is this Different for Students Receiving vs. Not Receiving Tutoring?</w:t>
      </w:r>
    </w:p>
    <w:p w14:paraId="3A456898" w14:textId="0206ED07" w:rsidR="001C1312" w:rsidRDefault="001C1312" w:rsidP="001C1312">
      <w:pPr>
        <w:pStyle w:val="ListParagraph"/>
        <w:numPr>
          <w:ilvl w:val="0"/>
          <w:numId w:val="4"/>
        </w:numPr>
      </w:pPr>
      <w:r>
        <w:t>What is the Grade Distribution (Count of Students) by Gender and Extracurricular Activity Participation?</w:t>
      </w:r>
    </w:p>
    <w:p w14:paraId="7650FC07" w14:textId="74CBF9C2" w:rsidR="001C1312" w:rsidRDefault="001C1312" w:rsidP="001C1312">
      <w:pPr>
        <w:pStyle w:val="ListParagraph"/>
        <w:numPr>
          <w:ilvl w:val="0"/>
          <w:numId w:val="4"/>
        </w:numPr>
      </w:pPr>
      <w:r>
        <w:t>Which Combination of Support Factors (Parental Support &amp; Tutoring) is Most Common Among Top-Performing Students (GPA ≥ 3.5)?</w:t>
      </w:r>
    </w:p>
    <w:p w14:paraId="03544428" w14:textId="60A0309D" w:rsidR="001C1312" w:rsidRDefault="001C1312" w:rsidP="001C1312">
      <w:pPr>
        <w:pStyle w:val="ListParagraph"/>
        <w:numPr>
          <w:ilvl w:val="0"/>
          <w:numId w:val="4"/>
        </w:numPr>
      </w:pPr>
      <w:r>
        <w:t>What is the Average Absence Count for Students who Participate in Sports, Music, or Volunteering, Compared to Those Who Do Not?</w:t>
      </w:r>
    </w:p>
    <w:p w14:paraId="63E29B57" w14:textId="77777777" w:rsidR="00DD6BDE" w:rsidRDefault="00DD6BDE" w:rsidP="00355AA2"/>
    <w:p w14:paraId="29D70DFC" w14:textId="77777777" w:rsidR="00DD6BDE" w:rsidRDefault="00DD6BDE" w:rsidP="00355AA2"/>
    <w:p w14:paraId="50912CD8" w14:textId="77777777" w:rsidR="00767002" w:rsidRPr="00767002" w:rsidRDefault="00767002" w:rsidP="00767002">
      <w:pPr>
        <w:rPr>
          <w:b/>
          <w:bCs/>
          <w:sz w:val="28"/>
          <w:szCs w:val="28"/>
        </w:rPr>
      </w:pPr>
      <w:r w:rsidRPr="00767002">
        <w:rPr>
          <w:b/>
          <w:bCs/>
          <w:sz w:val="28"/>
          <w:szCs w:val="28"/>
        </w:rPr>
        <w:t>6. Insights</w:t>
      </w:r>
    </w:p>
    <w:p w14:paraId="3E401A99" w14:textId="77777777" w:rsidR="00A31A00" w:rsidRDefault="00767002" w:rsidP="00767002">
      <w:r w:rsidRPr="00767002">
        <w:rPr>
          <w:b/>
          <w:bCs/>
          <w:u w:val="single"/>
        </w:rPr>
        <w:t>Finding 1</w:t>
      </w:r>
      <w:r>
        <w:t>:</w:t>
      </w:r>
    </w:p>
    <w:p w14:paraId="736796B7" w14:textId="39A3CDCB" w:rsidR="00767002" w:rsidRDefault="009F33B9" w:rsidP="00767002">
      <w:r>
        <w:t>Study Time is Necessary but Not Sufficient</w:t>
      </w:r>
      <w:r w:rsidR="00767002">
        <w:t>. Students who study more than 15 hours per week have a significantly higher average GPA (~3.2) than those who study less than 5 hours (~1.8). However, tutoring acts as a key differentiator, with tutored students achieving a higher GPA at nearly every study time level.</w:t>
      </w:r>
    </w:p>
    <w:p w14:paraId="3C50B89E" w14:textId="77777777" w:rsidR="00A31A00" w:rsidRDefault="00767002" w:rsidP="00767002">
      <w:pPr>
        <w:rPr>
          <w:b/>
          <w:bCs/>
          <w:u w:val="single"/>
        </w:rPr>
      </w:pPr>
      <w:r w:rsidRPr="00767002">
        <w:rPr>
          <w:b/>
          <w:bCs/>
          <w:u w:val="single"/>
        </w:rPr>
        <w:t>Finding 2:</w:t>
      </w:r>
    </w:p>
    <w:p w14:paraId="2D7BBA2D" w14:textId="7FC746BB" w:rsidR="00767002" w:rsidRDefault="00767002" w:rsidP="00767002">
      <w:r>
        <w:t>Parental Involvement is a Powerful Predictor. The level of parental support shows a stronger correlation with GPA than parental education alone. Students with "HIGH" or "VERY HIGH" support have an average GPA nearly 1.0 point higher than those with "LOW" or "NONE" support.</w:t>
      </w:r>
    </w:p>
    <w:p w14:paraId="5402C646" w14:textId="77777777" w:rsidR="00A31A00" w:rsidRDefault="00DC072E" w:rsidP="00DC072E">
      <w:pPr>
        <w:rPr>
          <w:b/>
          <w:bCs/>
          <w:u w:val="single"/>
        </w:rPr>
      </w:pPr>
      <w:r w:rsidRPr="00767002">
        <w:rPr>
          <w:b/>
          <w:bCs/>
          <w:u w:val="single"/>
        </w:rPr>
        <w:t>Finding 3:</w:t>
      </w:r>
    </w:p>
    <w:p w14:paraId="1E2E2706" w14:textId="5E5DEABA" w:rsidR="00DC072E" w:rsidRDefault="00DC072E" w:rsidP="00DC072E">
      <w:r>
        <w:t xml:space="preserve"> Attendance is the Single Biggest Risk Factor. There is a stark negative correlation between absences and GPA. The average absence count for students with a failing grade (F) is over </w:t>
      </w:r>
      <w:r>
        <w:lastRenderedPageBreak/>
        <w:t>twice that of students with an A grade. High absenteeism (&gt;15 absences) is the most common trait among failing students.</w:t>
      </w:r>
    </w:p>
    <w:p w14:paraId="268F3177" w14:textId="77777777" w:rsidR="00A31A00" w:rsidRDefault="00DC072E" w:rsidP="00DC072E">
      <w:pPr>
        <w:rPr>
          <w:b/>
          <w:bCs/>
          <w:u w:val="single"/>
        </w:rPr>
      </w:pPr>
      <w:r w:rsidRPr="00767002">
        <w:rPr>
          <w:b/>
          <w:bCs/>
          <w:u w:val="single"/>
        </w:rPr>
        <w:t>Finding 4:</w:t>
      </w:r>
    </w:p>
    <w:p w14:paraId="6B9BE625" w14:textId="097D4A11" w:rsidR="00DC072E" w:rsidRDefault="00DC072E" w:rsidP="00DC072E">
      <w:r>
        <w:t xml:space="preserve"> Extracurricular Activities Show a Neutral to Positive Link. There is no evidence that participation in sports, music, or volunteering harms academic performance. In fact, participants often have slightly lower absence rates, suggesting better time management or engagement.</w:t>
      </w:r>
    </w:p>
    <w:p w14:paraId="56D918E5" w14:textId="77777777" w:rsidR="00DC072E" w:rsidRDefault="00DC072E" w:rsidP="00DC072E"/>
    <w:p w14:paraId="1B4D6FD9" w14:textId="61C38624" w:rsidR="00767002" w:rsidRDefault="00DC072E" w:rsidP="00DC072E">
      <w:pPr>
        <w:rPr>
          <w:b/>
          <w:bCs/>
          <w:sz w:val="28"/>
          <w:szCs w:val="28"/>
        </w:rPr>
      </w:pPr>
      <w:r w:rsidRPr="00767002">
        <w:rPr>
          <w:b/>
          <w:bCs/>
          <w:sz w:val="28"/>
          <w:szCs w:val="28"/>
        </w:rPr>
        <w:t>7. Visualizations</w:t>
      </w:r>
    </w:p>
    <w:p w14:paraId="1F1ECA25" w14:textId="72D334E6" w:rsidR="00767002" w:rsidRPr="003C7085" w:rsidRDefault="003C7085" w:rsidP="00DC072E">
      <w:pPr>
        <w:rPr>
          <w:b/>
          <w:bCs/>
        </w:rPr>
      </w:pPr>
      <w:r>
        <w:rPr>
          <w:b/>
          <w:bCs/>
        </w:rPr>
        <w:t>V</w:t>
      </w:r>
      <w:r w:rsidRPr="003C7085">
        <w:rPr>
          <w:b/>
          <w:bCs/>
          <w:u w:val="single"/>
        </w:rPr>
        <w:t>isualization 1: The Impact of Study Time and Tutoring on GPA</w:t>
      </w:r>
    </w:p>
    <w:p w14:paraId="00DE3B05" w14:textId="77777777" w:rsidR="003C7085" w:rsidRPr="003C7085" w:rsidRDefault="003C7085" w:rsidP="00DC072E"/>
    <w:p w14:paraId="210787EB" w14:textId="4B80E89A" w:rsidR="00DC072E" w:rsidRDefault="002A6B00" w:rsidP="00DC072E">
      <w:r>
        <w:rPr>
          <w:noProof/>
        </w:rPr>
        <w:drawing>
          <wp:inline distT="0" distB="0" distL="0" distR="0" wp14:anchorId="5A6C1BE8" wp14:editId="5B1724BE">
            <wp:extent cx="4759746" cy="2899963"/>
            <wp:effectExtent l="0" t="0" r="3175" b="15240"/>
            <wp:docPr id="1005719946" name="Chart 1">
              <a:extLst xmlns:a="http://schemas.openxmlformats.org/drawingml/2006/main">
                <a:ext uri="{FF2B5EF4-FFF2-40B4-BE49-F238E27FC236}">
                  <a16:creationId xmlns:a16="http://schemas.microsoft.com/office/drawing/2014/main" id="{8996289F-B578-19AE-4AB9-1C6464716EA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38F61910" w14:textId="68B9702F" w:rsidR="00DC072E" w:rsidRDefault="00DC072E" w:rsidP="00DC072E"/>
    <w:p w14:paraId="6B10CBFE" w14:textId="0C59F953" w:rsidR="003C7085" w:rsidRDefault="00DC072E" w:rsidP="00DC072E">
      <w:r>
        <w:t xml:space="preserve"> </w:t>
      </w:r>
      <w:r w:rsidR="00702993" w:rsidRPr="00702993">
        <w:t>This clustered column chart clearly shows that GPA increases with study time for both groups. The consistent gap between the bars demonstrates that tutored students (blue) outperform their non-tutored peers (orange) at almost every level of study time, validating tutoring's role in enhancing study efficiency.</w:t>
      </w:r>
    </w:p>
    <w:p w14:paraId="7DBE834B" w14:textId="77777777" w:rsidR="003C7085" w:rsidRDefault="003C7085" w:rsidP="00DC072E"/>
    <w:p w14:paraId="277D3199" w14:textId="77777777" w:rsidR="003C7085" w:rsidRDefault="003C7085" w:rsidP="00DC072E"/>
    <w:p w14:paraId="0AB08AEE" w14:textId="77777777" w:rsidR="00A31A00" w:rsidRDefault="00A31A00" w:rsidP="00DC072E"/>
    <w:p w14:paraId="58AA7BE5" w14:textId="77777777" w:rsidR="00A31A00" w:rsidRDefault="00A31A00" w:rsidP="00DC072E"/>
    <w:p w14:paraId="3CAD6296" w14:textId="77777777" w:rsidR="003C7085" w:rsidRDefault="003C7085" w:rsidP="00DC072E"/>
    <w:p w14:paraId="44A131DD" w14:textId="4307F173" w:rsidR="00DC072E" w:rsidRPr="003C7085" w:rsidRDefault="00DC072E" w:rsidP="00DC072E">
      <w:pPr>
        <w:rPr>
          <w:b/>
          <w:bCs/>
          <w:u w:val="single"/>
        </w:rPr>
      </w:pPr>
      <w:r w:rsidRPr="003C7085">
        <w:rPr>
          <w:b/>
          <w:bCs/>
          <w:u w:val="single"/>
        </w:rPr>
        <w:t>Visualization 2: Average GPA and Absences by Parental Education</w:t>
      </w:r>
    </w:p>
    <w:p w14:paraId="7C6DA93D" w14:textId="77777777" w:rsidR="003C7085" w:rsidRDefault="003C7085" w:rsidP="00DC072E"/>
    <w:p w14:paraId="79A48ECE" w14:textId="7CFB7160" w:rsidR="003C7085" w:rsidRDefault="003C7085" w:rsidP="00DC072E">
      <w:r>
        <w:rPr>
          <w:noProof/>
        </w:rPr>
        <w:drawing>
          <wp:inline distT="0" distB="0" distL="0" distR="0" wp14:anchorId="55395B2C" wp14:editId="21E986A2">
            <wp:extent cx="4781550" cy="2446020"/>
            <wp:effectExtent l="0" t="0" r="0" b="11430"/>
            <wp:docPr id="1520986094" name="Chart 1">
              <a:extLst xmlns:a="http://schemas.openxmlformats.org/drawingml/2006/main">
                <a:ext uri="{FF2B5EF4-FFF2-40B4-BE49-F238E27FC236}">
                  <a16:creationId xmlns:a16="http://schemas.microsoft.com/office/drawing/2014/main" id="{0E822A4C-BAA2-E740-74BE-43ADEE43E83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7A5B7961" w14:textId="77777777" w:rsidR="00702993" w:rsidRDefault="00DC072E" w:rsidP="00702993">
      <w:r>
        <w:t xml:space="preserve">  </w:t>
      </w:r>
    </w:p>
    <w:p w14:paraId="64BC636D" w14:textId="2506363D" w:rsidR="00702993" w:rsidRDefault="00702993" w:rsidP="00702993">
      <w:r w:rsidRPr="00702993">
        <w:t>This dual-axis chart reveals that while GPA generally rises with parental education level, the relationship with absences is less clear. This suggests that the value placed on education (reflected in support and fostering good habits) may be more critical than the parents' education level itself.</w:t>
      </w:r>
    </w:p>
    <w:p w14:paraId="1F3C533F" w14:textId="77777777" w:rsidR="00702993" w:rsidRDefault="00702993" w:rsidP="00702993"/>
    <w:p w14:paraId="794C0B18" w14:textId="2A3F4A54" w:rsidR="00702993" w:rsidRPr="003C7085" w:rsidRDefault="00702993" w:rsidP="00702993">
      <w:pPr>
        <w:rPr>
          <w:b/>
          <w:bCs/>
          <w:u w:val="single"/>
        </w:rPr>
      </w:pPr>
      <w:r w:rsidRPr="003C7085">
        <w:rPr>
          <w:b/>
          <w:bCs/>
          <w:u w:val="single"/>
        </w:rPr>
        <w:t>Visualization 3: Support System Profile of Top-Performing Students</w:t>
      </w:r>
      <w:r w:rsidR="00DC072E">
        <w:t xml:space="preserve"> </w:t>
      </w:r>
    </w:p>
    <w:p w14:paraId="41F7BB49" w14:textId="3D43E317" w:rsidR="00DC072E" w:rsidRPr="003C7085" w:rsidRDefault="00DC072E" w:rsidP="00DC072E">
      <w:pPr>
        <w:rPr>
          <w:b/>
          <w:bCs/>
          <w:u w:val="single"/>
        </w:rPr>
      </w:pPr>
      <w:r w:rsidRPr="003C7085">
        <w:rPr>
          <w:b/>
          <w:bCs/>
          <w:u w:val="single"/>
        </w:rPr>
        <w:t>(GPA ≥ 3.5)</w:t>
      </w:r>
    </w:p>
    <w:p w14:paraId="6CED65A3" w14:textId="77777777" w:rsidR="003C7085" w:rsidRDefault="003C7085" w:rsidP="00DC072E"/>
    <w:p w14:paraId="448EAFFA" w14:textId="77777777" w:rsidR="003C7085" w:rsidRDefault="003C7085" w:rsidP="00DC072E">
      <w:r>
        <w:rPr>
          <w:noProof/>
        </w:rPr>
        <w:lastRenderedPageBreak/>
        <w:drawing>
          <wp:inline distT="0" distB="0" distL="0" distR="0" wp14:anchorId="3FF878D4" wp14:editId="16DEC720">
            <wp:extent cx="4657725" cy="2369820"/>
            <wp:effectExtent l="0" t="0" r="9525" b="11430"/>
            <wp:docPr id="399058177" name="Chart 1">
              <a:extLst xmlns:a="http://schemas.openxmlformats.org/drawingml/2006/main">
                <a:ext uri="{FF2B5EF4-FFF2-40B4-BE49-F238E27FC236}">
                  <a16:creationId xmlns:a16="http://schemas.microsoft.com/office/drawing/2014/main" id="{41A90087-B4FF-4C35-8227-1F8D9BD86AB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317102E7" w14:textId="6A9DFE5F" w:rsidR="00DC072E" w:rsidRDefault="00702993" w:rsidP="00DC072E">
      <w:r w:rsidRPr="00702993">
        <w:t>This chart shows that the most common profile of an "A" student is one who receives "HIGH" parental support. Tutoring is utilized by a significant portion of top performers, especially those with "MODERATE" support, indicating it can help bridge a support gap.</w:t>
      </w:r>
    </w:p>
    <w:p w14:paraId="663BDA37" w14:textId="77777777" w:rsidR="00702993" w:rsidRDefault="00702993" w:rsidP="00DC072E"/>
    <w:p w14:paraId="32E44FC7" w14:textId="5FA7BF26" w:rsidR="00702993" w:rsidRDefault="00702993" w:rsidP="00DC072E">
      <w:pPr>
        <w:rPr>
          <w:b/>
          <w:bCs/>
          <w:u w:val="single"/>
        </w:rPr>
      </w:pPr>
      <w:r w:rsidRPr="00702993">
        <w:rPr>
          <w:b/>
          <w:bCs/>
          <w:u w:val="single"/>
        </w:rPr>
        <w:t>Visualization 4: Grade Distribution by Gender and Extracurricular Participation</w:t>
      </w:r>
    </w:p>
    <w:p w14:paraId="4F6074D0" w14:textId="77777777" w:rsidR="005F7A83" w:rsidRPr="00702993" w:rsidRDefault="005F7A83" w:rsidP="00DC072E">
      <w:pPr>
        <w:rPr>
          <w:b/>
          <w:bCs/>
          <w:u w:val="single"/>
        </w:rPr>
      </w:pPr>
    </w:p>
    <w:p w14:paraId="56A2308A" w14:textId="10F0FDBC" w:rsidR="00702993" w:rsidRDefault="00702993" w:rsidP="00DC072E">
      <w:r>
        <w:rPr>
          <w:noProof/>
        </w:rPr>
        <w:drawing>
          <wp:inline distT="0" distB="0" distL="0" distR="0" wp14:anchorId="0842CB2D" wp14:editId="1CDCBBA3">
            <wp:extent cx="5402580" cy="2080260"/>
            <wp:effectExtent l="0" t="0" r="7620" b="15240"/>
            <wp:docPr id="866936869" name="Chart 1">
              <a:extLst xmlns:a="http://schemas.openxmlformats.org/drawingml/2006/main">
                <a:ext uri="{FF2B5EF4-FFF2-40B4-BE49-F238E27FC236}">
                  <a16:creationId xmlns:a16="http://schemas.microsoft.com/office/drawing/2014/main" id="{3C9CB5CE-5109-4DDF-8D45-CC379BE770E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7150903D" w14:textId="77777777" w:rsidR="00702993" w:rsidRDefault="00702993" w:rsidP="00DC072E">
      <w:pPr>
        <w:rPr>
          <w:b/>
          <w:bCs/>
          <w:sz w:val="28"/>
          <w:szCs w:val="28"/>
        </w:rPr>
      </w:pPr>
    </w:p>
    <w:p w14:paraId="285F2A40" w14:textId="0D89094B" w:rsidR="00702993" w:rsidRPr="00702993" w:rsidRDefault="00702993" w:rsidP="00DC072E">
      <w:r w:rsidRPr="00702993">
        <w:t>This stacked bar chart provides a nuanced view of performance. It reveals that for both genders, students involved in extracurricular activities have a higher proportion of A and B grades and a lower proportion of D and F grades compared to their non-participating peers. This strongly suggests that extracurricular involvement is associated with better academic outcomes, potentially due to better time management or higher overall engagement, and this positive relationship holds true for both male and female students.</w:t>
      </w:r>
    </w:p>
    <w:p w14:paraId="67040CC8" w14:textId="77777777" w:rsidR="00702993" w:rsidRDefault="00702993" w:rsidP="00DC072E">
      <w:pPr>
        <w:rPr>
          <w:b/>
          <w:bCs/>
          <w:sz w:val="28"/>
          <w:szCs w:val="28"/>
        </w:rPr>
      </w:pPr>
    </w:p>
    <w:p w14:paraId="4574AF14" w14:textId="6445DB89" w:rsidR="00DC072E" w:rsidRPr="00702993" w:rsidRDefault="00DC072E" w:rsidP="00DC072E">
      <w:pPr>
        <w:rPr>
          <w:b/>
          <w:bCs/>
          <w:sz w:val="28"/>
          <w:szCs w:val="28"/>
        </w:rPr>
      </w:pPr>
      <w:r w:rsidRPr="00767002">
        <w:rPr>
          <w:b/>
          <w:bCs/>
          <w:sz w:val="28"/>
          <w:szCs w:val="28"/>
        </w:rPr>
        <w:t>8. Recommendations</w:t>
      </w:r>
    </w:p>
    <w:p w14:paraId="286D7672" w14:textId="54557CCD" w:rsidR="00DC072E" w:rsidRDefault="00DC072E" w:rsidP="00767002">
      <w:pPr>
        <w:pStyle w:val="ListParagraph"/>
        <w:numPr>
          <w:ilvl w:val="0"/>
          <w:numId w:val="2"/>
        </w:numPr>
      </w:pPr>
      <w:r w:rsidRPr="00767002">
        <w:rPr>
          <w:b/>
          <w:bCs/>
        </w:rPr>
        <w:t>Actionable Step 1</w:t>
      </w:r>
      <w:r>
        <w:t>: Implement Targeted Tutoring Outreach.</w:t>
      </w:r>
    </w:p>
    <w:p w14:paraId="0A65C7A3" w14:textId="0849D5DC" w:rsidR="00DC072E" w:rsidRDefault="00DC072E" w:rsidP="00DC072E">
      <w:r>
        <w:t>Proactively offer tutoring services to students reporting low study time (&lt;10 hours) and those with low parental support. This directly addresses the efficiency gap and provides external support where internal support is lacking.</w:t>
      </w:r>
    </w:p>
    <w:p w14:paraId="4AB6040D" w14:textId="77777777" w:rsidR="00767002" w:rsidRDefault="00767002" w:rsidP="00DC072E"/>
    <w:p w14:paraId="747D5928" w14:textId="77777777" w:rsidR="00767002" w:rsidRDefault="00DC072E" w:rsidP="00DC072E">
      <w:pPr>
        <w:pStyle w:val="ListParagraph"/>
        <w:numPr>
          <w:ilvl w:val="0"/>
          <w:numId w:val="2"/>
        </w:numPr>
      </w:pPr>
      <w:r w:rsidRPr="00767002">
        <w:rPr>
          <w:b/>
          <w:bCs/>
        </w:rPr>
        <w:t>Actionable Step 2:</w:t>
      </w:r>
      <w:r>
        <w:t xml:space="preserve"> Launch an Attendance Awareness Campaign.</w:t>
      </w:r>
    </w:p>
    <w:p w14:paraId="3F356F06" w14:textId="77777777" w:rsidR="00767002" w:rsidRDefault="00DC072E" w:rsidP="00DC072E">
      <w:r>
        <w:t>Educate students and parents on the severe academic impact of absences, using this data as evidence. Early intervention for students exceeding 10 absences could prevent failure.</w:t>
      </w:r>
    </w:p>
    <w:p w14:paraId="7B6090A1" w14:textId="77777777" w:rsidR="009F33B9" w:rsidRDefault="009F33B9" w:rsidP="009F33B9">
      <w:r>
        <w:t>Conduct a deeper analysis into the quality of study time and investigate the reasons behind high absenteeism to create more nuanced interventions.</w:t>
      </w:r>
    </w:p>
    <w:p w14:paraId="1FE1F3F1" w14:textId="64646AC2" w:rsidR="009F33B9" w:rsidRDefault="009F33B9" w:rsidP="00DC072E"/>
    <w:p w14:paraId="5B995956" w14:textId="77777777" w:rsidR="00767002" w:rsidRDefault="00767002" w:rsidP="00DC072E"/>
    <w:p w14:paraId="10F0980A" w14:textId="77777777" w:rsidR="00767002" w:rsidRDefault="00DC072E" w:rsidP="00DC072E">
      <w:pPr>
        <w:pStyle w:val="ListParagraph"/>
        <w:numPr>
          <w:ilvl w:val="0"/>
          <w:numId w:val="2"/>
        </w:numPr>
      </w:pPr>
      <w:r w:rsidRPr="00767002">
        <w:rPr>
          <w:b/>
          <w:bCs/>
        </w:rPr>
        <w:t>Actionable Step 3:</w:t>
      </w:r>
      <w:r>
        <w:t xml:space="preserve"> Develop a "Parental Engagement" Workshop.</w:t>
      </w:r>
    </w:p>
    <w:p w14:paraId="4CD2386B" w14:textId="42996FDE" w:rsidR="00DC072E" w:rsidRDefault="00DC072E" w:rsidP="00DC072E">
      <w:r>
        <w:t xml:space="preserve">Coach parents on practical ways to provide "HIGH" support—not just with homework, but by creating a structured, supportive home environment—which the data shows </w:t>
      </w:r>
      <w:proofErr w:type="gramStart"/>
      <w:r>
        <w:t>is</w:t>
      </w:r>
      <w:proofErr w:type="gramEnd"/>
      <w:r>
        <w:t xml:space="preserve"> profoundly effective.</w:t>
      </w:r>
    </w:p>
    <w:p w14:paraId="3489280D" w14:textId="77777777" w:rsidR="009F33B9" w:rsidRDefault="009F33B9" w:rsidP="00DC072E"/>
    <w:p w14:paraId="08E05D94" w14:textId="04468481" w:rsidR="00DC072E" w:rsidRPr="00767002" w:rsidRDefault="00DC072E" w:rsidP="00DC072E">
      <w:pPr>
        <w:rPr>
          <w:b/>
          <w:bCs/>
          <w:sz w:val="28"/>
          <w:szCs w:val="28"/>
        </w:rPr>
      </w:pPr>
      <w:r w:rsidRPr="00767002">
        <w:rPr>
          <w:b/>
          <w:bCs/>
          <w:sz w:val="28"/>
          <w:szCs w:val="28"/>
        </w:rPr>
        <w:t>9. Conclusion</w:t>
      </w:r>
    </w:p>
    <w:p w14:paraId="2272BA81" w14:textId="34395599" w:rsidR="00DC072E" w:rsidRDefault="00DC072E" w:rsidP="00DC072E">
      <w:r>
        <w:t>This analysis demonstrates that student performance is not determined by a single factor but by a combination of effort (study time), support (parental and tutoring), and discipline (attendance). While parental background sets a context, actionable factors like support and attendance are more direct levers for improvement.</w:t>
      </w:r>
    </w:p>
    <w:p w14:paraId="6873D242" w14:textId="77777777" w:rsidR="00767002" w:rsidRDefault="00767002" w:rsidP="00DC072E"/>
    <w:p w14:paraId="094B91DC" w14:textId="77777777" w:rsidR="00767002" w:rsidRDefault="00DC072E" w:rsidP="00DC072E">
      <w:r w:rsidRPr="00767002">
        <w:rPr>
          <w:b/>
          <w:bCs/>
        </w:rPr>
        <w:t>Final Thoughts</w:t>
      </w:r>
      <w:r>
        <w:t xml:space="preserve">: </w:t>
      </w:r>
    </w:p>
    <w:p w14:paraId="0D6C5970" w14:textId="083F8E87" w:rsidR="00DC072E" w:rsidRDefault="00DC072E" w:rsidP="00DC072E">
      <w:r>
        <w:t>By moving from a one-size-fits-all approach to a targeted strategy based on these data-driven profiles, the institution can significantly improve student outcomes, resource allocation, and overall academic success.</w:t>
      </w:r>
    </w:p>
    <w:sectPr w:rsidR="00DC07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E618A"/>
    <w:multiLevelType w:val="hybridMultilevel"/>
    <w:tmpl w:val="836E9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B1025DC"/>
    <w:multiLevelType w:val="hybridMultilevel"/>
    <w:tmpl w:val="B088D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3C753A5"/>
    <w:multiLevelType w:val="hybridMultilevel"/>
    <w:tmpl w:val="5C500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A6013FE"/>
    <w:multiLevelType w:val="hybridMultilevel"/>
    <w:tmpl w:val="A4C247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6763721">
    <w:abstractNumId w:val="2"/>
  </w:num>
  <w:num w:numId="2" w16cid:durableId="610402992">
    <w:abstractNumId w:val="1"/>
  </w:num>
  <w:num w:numId="3" w16cid:durableId="1390884842">
    <w:abstractNumId w:val="3"/>
  </w:num>
  <w:num w:numId="4" w16cid:durableId="14475018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AA2"/>
    <w:rsid w:val="001C1312"/>
    <w:rsid w:val="001D6FB2"/>
    <w:rsid w:val="002A6B00"/>
    <w:rsid w:val="00355AA2"/>
    <w:rsid w:val="0037655C"/>
    <w:rsid w:val="003A7A3F"/>
    <w:rsid w:val="003C7085"/>
    <w:rsid w:val="004E278D"/>
    <w:rsid w:val="00537D88"/>
    <w:rsid w:val="005F7A83"/>
    <w:rsid w:val="00702993"/>
    <w:rsid w:val="00767002"/>
    <w:rsid w:val="007B2211"/>
    <w:rsid w:val="007D7B9D"/>
    <w:rsid w:val="008872A3"/>
    <w:rsid w:val="009E64C9"/>
    <w:rsid w:val="009F33B9"/>
    <w:rsid w:val="00A31A00"/>
    <w:rsid w:val="00A76E84"/>
    <w:rsid w:val="00C07BC9"/>
    <w:rsid w:val="00C75E60"/>
    <w:rsid w:val="00D643DC"/>
    <w:rsid w:val="00DC072E"/>
    <w:rsid w:val="00DD6BDE"/>
    <w:rsid w:val="00E23C80"/>
    <w:rsid w:val="00E42BA4"/>
    <w:rsid w:val="00EE33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36B7B"/>
  <w15:chartTrackingRefBased/>
  <w15:docId w15:val="{FB9899E0-9353-499A-A470-2C020A8C9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5A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5A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5A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5A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5A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5A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5A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5A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5A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5A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5A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5A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5A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5A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5A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5A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5A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5AA2"/>
    <w:rPr>
      <w:rFonts w:eastAsiaTheme="majorEastAsia" w:cstheme="majorBidi"/>
      <w:color w:val="272727" w:themeColor="text1" w:themeTint="D8"/>
    </w:rPr>
  </w:style>
  <w:style w:type="paragraph" w:styleId="Title">
    <w:name w:val="Title"/>
    <w:basedOn w:val="Normal"/>
    <w:next w:val="Normal"/>
    <w:link w:val="TitleChar"/>
    <w:uiPriority w:val="10"/>
    <w:qFormat/>
    <w:rsid w:val="00355A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5A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5A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5A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5AA2"/>
    <w:pPr>
      <w:spacing w:before="160"/>
      <w:jc w:val="center"/>
    </w:pPr>
    <w:rPr>
      <w:i/>
      <w:iCs/>
      <w:color w:val="404040" w:themeColor="text1" w:themeTint="BF"/>
    </w:rPr>
  </w:style>
  <w:style w:type="character" w:customStyle="1" w:styleId="QuoteChar">
    <w:name w:val="Quote Char"/>
    <w:basedOn w:val="DefaultParagraphFont"/>
    <w:link w:val="Quote"/>
    <w:uiPriority w:val="29"/>
    <w:rsid w:val="00355AA2"/>
    <w:rPr>
      <w:i/>
      <w:iCs/>
      <w:color w:val="404040" w:themeColor="text1" w:themeTint="BF"/>
    </w:rPr>
  </w:style>
  <w:style w:type="paragraph" w:styleId="ListParagraph">
    <w:name w:val="List Paragraph"/>
    <w:basedOn w:val="Normal"/>
    <w:uiPriority w:val="34"/>
    <w:qFormat/>
    <w:rsid w:val="00355AA2"/>
    <w:pPr>
      <w:ind w:left="720"/>
      <w:contextualSpacing/>
    </w:pPr>
  </w:style>
  <w:style w:type="character" w:styleId="IntenseEmphasis">
    <w:name w:val="Intense Emphasis"/>
    <w:basedOn w:val="DefaultParagraphFont"/>
    <w:uiPriority w:val="21"/>
    <w:qFormat/>
    <w:rsid w:val="00355AA2"/>
    <w:rPr>
      <w:i/>
      <w:iCs/>
      <w:color w:val="0F4761" w:themeColor="accent1" w:themeShade="BF"/>
    </w:rPr>
  </w:style>
  <w:style w:type="paragraph" w:styleId="IntenseQuote">
    <w:name w:val="Intense Quote"/>
    <w:basedOn w:val="Normal"/>
    <w:next w:val="Normal"/>
    <w:link w:val="IntenseQuoteChar"/>
    <w:uiPriority w:val="30"/>
    <w:qFormat/>
    <w:rsid w:val="00355A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5AA2"/>
    <w:rPr>
      <w:i/>
      <w:iCs/>
      <w:color w:val="0F4761" w:themeColor="accent1" w:themeShade="BF"/>
    </w:rPr>
  </w:style>
  <w:style w:type="character" w:styleId="IntenseReference">
    <w:name w:val="Intense Reference"/>
    <w:basedOn w:val="DefaultParagraphFont"/>
    <w:uiPriority w:val="32"/>
    <w:qFormat/>
    <w:rsid w:val="00355A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4.xml"/><Relationship Id="rId3" Type="http://schemas.openxmlformats.org/officeDocument/2006/relationships/settings" Target="settings.xml"/><Relationship Id="rId7" Type="http://schemas.openxmlformats.org/officeDocument/2006/relationships/chart" Target="charts/chart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2.xml"/><Relationship Id="rId5" Type="http://schemas.openxmlformats.org/officeDocument/2006/relationships/chart" Target="charts/chart1.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charts/_rels/chart1.xml.rels><?xml version="1.0" encoding="UTF-8" standalone="yes"?>
<Relationships xmlns="http://schemas.openxmlformats.org/package/2006/relationships"><Relationship Id="rId1" Type="http://schemas.openxmlformats.org/officeDocument/2006/relationships/oleObject" Target="file:///C:\Users\Oluwademilade\Desktop\Data%20Analytics\Excel%20Class\Student_performance_data%20_.xlsx" TargetMode="External"/></Relationships>
</file>

<file path=word/charts/_rels/chart2.xml.rels><?xml version="1.0" encoding="UTF-8" standalone="yes"?>
<Relationships xmlns="http://schemas.openxmlformats.org/package/2006/relationships"><Relationship Id="rId3" Type="http://schemas.openxmlformats.org/officeDocument/2006/relationships/oleObject" Target="file:///C:\Users\Oluwademilade\Desktop\Data%20Analytics\Excel%20Class\Student_performance_data%20_.xlsx" TargetMode="External"/><Relationship Id="rId2" Type="http://schemas.microsoft.com/office/2011/relationships/chartColorStyle" Target="colors1.xml"/><Relationship Id="rId1" Type="http://schemas.microsoft.com/office/2011/relationships/chartStyle" Target="style1.xml"/></Relationships>
</file>

<file path=word/charts/_rels/chart3.xml.rels><?xml version="1.0" encoding="UTF-8" standalone="yes"?>
<Relationships xmlns="http://schemas.openxmlformats.org/package/2006/relationships"><Relationship Id="rId1" Type="http://schemas.openxmlformats.org/officeDocument/2006/relationships/oleObject" Target="file:///C:\Users\Oluwademilade\Desktop\Data%20Analytics\Excel%20Class\Student_performance_data%20_.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C:\Users\Oluwademilade\Desktop\Data%20Analytics\Excel%20Class\Student_performance_data%20_.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[Student_performance_data _.xlsx]Pivot Table!PivotTable12</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900" b="1">
                <a:latin typeface="Montserrat" pitchFamily="2" charset="0"/>
              </a:rPr>
              <a:t>The Impact of Study Time on GPA:</a:t>
            </a:r>
          </a:p>
          <a:p>
            <a:pPr>
              <a:defRPr sz="1400" b="0" i="0" u="none" strike="noStrike" kern="1200" spc="0" baseline="0">
                <a:solidFill>
                  <a:schemeClr val="tx1">
                    <a:lumMod val="65000"/>
                    <a:lumOff val="35000"/>
                  </a:schemeClr>
                </a:solidFill>
                <a:latin typeface="+mn-lt"/>
                <a:ea typeface="+mn-ea"/>
                <a:cs typeface="+mn-cs"/>
              </a:defRPr>
            </a:pPr>
            <a:r>
              <a:rPr lang="en-US" sz="900" b="1">
                <a:latin typeface="Montserrat" pitchFamily="2" charset="0"/>
              </a:rPr>
              <a:t>Tutoring vs. No Tutoring</a:t>
            </a:r>
          </a:p>
        </c:rich>
      </c:tx>
      <c:overlay val="0"/>
      <c:spPr>
        <a:noFill/>
        <a:ln>
          <a:noFill/>
        </a:ln>
        <a:effectLst/>
      </c:spPr>
    </c:title>
    <c:autoTitleDeleted val="0"/>
    <c:pivotFmts>
      <c:pivotFmt>
        <c:idx val="0"/>
        <c:spPr>
          <a:solidFill>
            <a:schemeClr val="accent1"/>
          </a:solidFill>
          <a:ln>
            <a:noFill/>
          </a:ln>
          <a:effectLst/>
        </c:spPr>
        <c:marker>
          <c:symbol val="none"/>
        </c:marker>
        <c:dLbl>
          <c:idx val="0"/>
          <c:delete val="1"/>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delete val="1"/>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delete val="1"/>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delete val="1"/>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delete val="1"/>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delete val="1"/>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delete val="1"/>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delete val="1"/>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delete val="1"/>
          <c:extLst>
            <c:ext xmlns:c15="http://schemas.microsoft.com/office/drawing/2012/chart" uri="{CE6537A1-D6FC-4f65-9D91-7224C49458BB}"/>
          </c:extLst>
        </c:dLbl>
      </c:pivotFmt>
      <c:pivotFmt>
        <c:idx val="9"/>
        <c:spPr>
          <a:solidFill>
            <a:schemeClr val="accent1"/>
          </a:solidFill>
          <a:ln>
            <a:noFill/>
          </a:ln>
          <a:effectLst/>
        </c:spPr>
        <c:marker>
          <c:symbol val="none"/>
        </c:marker>
        <c:dLbl>
          <c:idx val="0"/>
          <c:delete val="1"/>
          <c:extLst>
            <c:ext xmlns:c15="http://schemas.microsoft.com/office/drawing/2012/chart" uri="{CE6537A1-D6FC-4f65-9D91-7224C49458BB}"/>
          </c:extLst>
        </c:dLbl>
      </c:pivotFmt>
      <c:pivotFmt>
        <c:idx val="10"/>
        <c:spPr>
          <a:solidFill>
            <a:schemeClr val="accent1"/>
          </a:solidFill>
          <a:ln>
            <a:noFill/>
          </a:ln>
          <a:effectLst/>
        </c:spPr>
        <c:marker>
          <c:symbol val="none"/>
        </c:marker>
        <c:dLbl>
          <c:idx val="0"/>
          <c:delete val="1"/>
          <c:extLst>
            <c:ext xmlns:c15="http://schemas.microsoft.com/office/drawing/2012/chart" uri="{CE6537A1-D6FC-4f65-9D91-7224C49458BB}"/>
          </c:extLst>
        </c:dLbl>
      </c:pivotFmt>
      <c:pivotFmt>
        <c:idx val="11"/>
        <c:spPr>
          <a:solidFill>
            <a:schemeClr val="accent1"/>
          </a:solidFill>
          <a:ln>
            <a:noFill/>
          </a:ln>
          <a:effectLst/>
        </c:spPr>
        <c:marker>
          <c:symbol val="none"/>
        </c:marker>
        <c:dLbl>
          <c:idx val="0"/>
          <c:delete val="1"/>
          <c:extLst>
            <c:ext xmlns:c15="http://schemas.microsoft.com/office/drawing/2012/chart" uri="{CE6537A1-D6FC-4f65-9D91-7224C49458BB}"/>
          </c:extLst>
        </c:dLbl>
      </c:pivotFmt>
      <c:pivotFmt>
        <c:idx val="12"/>
        <c:spPr>
          <a:solidFill>
            <a:srgbClr val="C00000"/>
          </a:solidFill>
        </c:spPr>
        <c:marker>
          <c:symbol val="none"/>
        </c:marker>
        <c:dLbl>
          <c:idx val="0"/>
          <c:delete val="1"/>
          <c:extLst>
            <c:ext xmlns:c15="http://schemas.microsoft.com/office/drawing/2012/chart" uri="{CE6537A1-D6FC-4f65-9D91-7224C49458BB}"/>
          </c:extLst>
        </c:dLbl>
      </c:pivotFmt>
      <c:pivotFmt>
        <c:idx val="13"/>
        <c:spPr>
          <a:solidFill>
            <a:schemeClr val="bg2">
              <a:lumMod val="50000"/>
            </a:schemeClr>
          </a:solidFill>
        </c:spPr>
        <c:marker>
          <c:symbol val="none"/>
        </c:marker>
        <c:dLbl>
          <c:idx val="0"/>
          <c:delete val="1"/>
          <c:extLst>
            <c:ext xmlns:c15="http://schemas.microsoft.com/office/drawing/2012/chart" uri="{CE6537A1-D6FC-4f65-9D91-7224C49458BB}"/>
          </c:extLst>
        </c:dLbl>
      </c:pivotFmt>
      <c:pivotFmt>
        <c:idx val="14"/>
        <c:spPr>
          <a:solidFill>
            <a:schemeClr val="accent1"/>
          </a:solidFill>
        </c:spPr>
        <c:marker>
          <c:symbol val="none"/>
        </c:marker>
        <c:dLbl>
          <c:idx val="0"/>
          <c:delete val="1"/>
          <c:extLst>
            <c:ext xmlns:c15="http://schemas.microsoft.com/office/drawing/2012/chart" uri="{CE6537A1-D6FC-4f65-9D91-7224C49458BB}"/>
          </c:extLst>
        </c:dLbl>
      </c:pivotFmt>
      <c:pivotFmt>
        <c:idx val="15"/>
        <c:spPr>
          <a:solidFill>
            <a:schemeClr val="accent2"/>
          </a:solidFill>
        </c:spPr>
        <c:marker>
          <c:symbol val="none"/>
        </c:marker>
        <c:dLbl>
          <c:idx val="0"/>
          <c:delete val="1"/>
          <c:extLst>
            <c:ext xmlns:c15="http://schemas.microsoft.com/office/drawing/2012/chart" uri="{CE6537A1-D6FC-4f65-9D91-7224C49458BB}"/>
          </c:extLst>
        </c:dLbl>
      </c:pivotFmt>
      <c:pivotFmt>
        <c:idx val="16"/>
        <c:spPr>
          <a:solidFill>
            <a:srgbClr val="C00000"/>
          </a:solidFill>
        </c:spPr>
        <c:marker>
          <c:symbol val="none"/>
        </c:marker>
        <c:dLbl>
          <c:idx val="0"/>
          <c:delete val="1"/>
          <c:extLst>
            <c:ext xmlns:c15="http://schemas.microsoft.com/office/drawing/2012/chart" uri="{CE6537A1-D6FC-4f65-9D91-7224C49458BB}"/>
          </c:extLst>
        </c:dLbl>
      </c:pivotFmt>
      <c:pivotFmt>
        <c:idx val="17"/>
        <c:spPr>
          <a:solidFill>
            <a:schemeClr val="bg2">
              <a:lumMod val="50000"/>
            </a:schemeClr>
          </a:solidFill>
        </c:spPr>
        <c:marker>
          <c:symbol val="none"/>
        </c:marker>
        <c:dLbl>
          <c:idx val="0"/>
          <c:delete val="1"/>
          <c:extLst>
            <c:ext xmlns:c15="http://schemas.microsoft.com/office/drawing/2012/chart" uri="{CE6537A1-D6FC-4f65-9D91-7224C49458BB}"/>
          </c:extLst>
        </c:dLbl>
      </c:pivotFmt>
      <c:pivotFmt>
        <c:idx val="18"/>
        <c:spPr>
          <a:solidFill>
            <a:schemeClr val="accent1"/>
          </a:solidFill>
        </c:spPr>
        <c:marker>
          <c:symbol val="none"/>
        </c:marker>
        <c:dLbl>
          <c:idx val="0"/>
          <c:delete val="1"/>
          <c:extLst>
            <c:ext xmlns:c15="http://schemas.microsoft.com/office/drawing/2012/chart" uri="{CE6537A1-D6FC-4f65-9D91-7224C49458BB}"/>
          </c:extLst>
        </c:dLbl>
      </c:pivotFmt>
      <c:pivotFmt>
        <c:idx val="19"/>
        <c:spPr>
          <a:solidFill>
            <a:schemeClr val="accent2"/>
          </a:solidFill>
        </c:spPr>
        <c:marker>
          <c:symbol val="none"/>
        </c:marker>
        <c:dLbl>
          <c:idx val="0"/>
          <c:delete val="1"/>
          <c:extLst>
            <c:ext xmlns:c15="http://schemas.microsoft.com/office/drawing/2012/chart" uri="{CE6537A1-D6FC-4f65-9D91-7224C49458BB}"/>
          </c:extLst>
        </c:dLbl>
      </c:pivotFmt>
      <c:pivotFmt>
        <c:idx val="20"/>
        <c:spPr>
          <a:solidFill>
            <a:srgbClr val="C00000"/>
          </a:solidFill>
        </c:spPr>
        <c:marker>
          <c:symbol val="none"/>
        </c:marker>
        <c:dLbl>
          <c:idx val="0"/>
          <c:delete val="1"/>
          <c:extLst>
            <c:ext xmlns:c15="http://schemas.microsoft.com/office/drawing/2012/chart" uri="{CE6537A1-D6FC-4f65-9D91-7224C49458BB}"/>
          </c:extLst>
        </c:dLbl>
      </c:pivotFmt>
      <c:pivotFmt>
        <c:idx val="21"/>
        <c:spPr>
          <a:solidFill>
            <a:schemeClr val="bg2">
              <a:lumMod val="50000"/>
            </a:schemeClr>
          </a:solidFill>
        </c:spPr>
        <c:marker>
          <c:symbol val="none"/>
        </c:marker>
        <c:dLbl>
          <c:idx val="0"/>
          <c:delete val="1"/>
          <c:extLst>
            <c:ext xmlns:c15="http://schemas.microsoft.com/office/drawing/2012/chart" uri="{CE6537A1-D6FC-4f65-9D91-7224C49458BB}"/>
          </c:extLst>
        </c:dLbl>
      </c:pivotFmt>
      <c:pivotFmt>
        <c:idx val="22"/>
        <c:spPr>
          <a:solidFill>
            <a:schemeClr val="accent1"/>
          </a:solidFill>
        </c:spPr>
        <c:marker>
          <c:symbol val="none"/>
        </c:marker>
        <c:dLbl>
          <c:idx val="0"/>
          <c:delete val="1"/>
          <c:extLst>
            <c:ext xmlns:c15="http://schemas.microsoft.com/office/drawing/2012/chart" uri="{CE6537A1-D6FC-4f65-9D91-7224C49458BB}"/>
          </c:extLst>
        </c:dLbl>
      </c:pivotFmt>
      <c:pivotFmt>
        <c:idx val="23"/>
        <c:spPr>
          <a:solidFill>
            <a:schemeClr val="accent2"/>
          </a:solidFill>
        </c:spPr>
        <c:marker>
          <c:symbol val="none"/>
        </c:marker>
        <c:dLbl>
          <c:idx val="0"/>
          <c:delete val="1"/>
          <c:extLst>
            <c:ext xmlns:c15="http://schemas.microsoft.com/office/drawing/2012/chart" uri="{CE6537A1-D6FC-4f65-9D91-7224C49458BB}"/>
          </c:extLst>
        </c:dLbl>
      </c:pivotFmt>
      <c:pivotFmt>
        <c:idx val="24"/>
        <c:spPr>
          <a:solidFill>
            <a:srgbClr val="C00000"/>
          </a:solidFill>
        </c:spPr>
        <c:marker>
          <c:symbol val="none"/>
        </c:marker>
        <c:dLbl>
          <c:idx val="0"/>
          <c:delete val="1"/>
          <c:extLst>
            <c:ext xmlns:c15="http://schemas.microsoft.com/office/drawing/2012/chart" uri="{CE6537A1-D6FC-4f65-9D91-7224C49458BB}"/>
          </c:extLst>
        </c:dLbl>
      </c:pivotFmt>
      <c:pivotFmt>
        <c:idx val="25"/>
        <c:spPr>
          <a:solidFill>
            <a:schemeClr val="bg2">
              <a:lumMod val="50000"/>
            </a:schemeClr>
          </a:solidFill>
        </c:spPr>
        <c:marker>
          <c:symbol val="none"/>
        </c:marker>
        <c:dLbl>
          <c:idx val="0"/>
          <c:delete val="1"/>
          <c:extLst>
            <c:ext xmlns:c15="http://schemas.microsoft.com/office/drawing/2012/chart" uri="{CE6537A1-D6FC-4f65-9D91-7224C49458BB}"/>
          </c:extLst>
        </c:dLbl>
      </c:pivotFmt>
      <c:pivotFmt>
        <c:idx val="26"/>
        <c:spPr>
          <a:solidFill>
            <a:schemeClr val="accent1"/>
          </a:solidFill>
        </c:spPr>
        <c:marker>
          <c:symbol val="none"/>
        </c:marker>
        <c:dLbl>
          <c:idx val="0"/>
          <c:delete val="1"/>
          <c:extLst>
            <c:ext xmlns:c15="http://schemas.microsoft.com/office/drawing/2012/chart" uri="{CE6537A1-D6FC-4f65-9D91-7224C49458BB}"/>
          </c:extLst>
        </c:dLbl>
      </c:pivotFmt>
      <c:pivotFmt>
        <c:idx val="27"/>
        <c:spPr>
          <a:solidFill>
            <a:schemeClr val="accent2"/>
          </a:solidFill>
        </c:spPr>
        <c:marker>
          <c:symbol val="none"/>
        </c:marker>
        <c:dLbl>
          <c:idx val="0"/>
          <c:delete val="1"/>
          <c:extLst>
            <c:ext xmlns:c15="http://schemas.microsoft.com/office/drawing/2012/chart" uri="{CE6537A1-D6FC-4f65-9D91-7224C49458BB}"/>
          </c:extLst>
        </c:dLbl>
      </c:pivotFmt>
      <c:pivotFmt>
        <c:idx val="28"/>
        <c:marker>
          <c:symbol val="none"/>
        </c:marker>
        <c:dLbl>
          <c:idx val="0"/>
          <c:delete val="1"/>
          <c:extLst>
            <c:ext xmlns:c15="http://schemas.microsoft.com/office/drawing/2012/chart" uri="{CE6537A1-D6FC-4f65-9D91-7224C49458BB}"/>
          </c:extLst>
        </c:dLbl>
      </c:pivotFmt>
      <c:pivotFmt>
        <c:idx val="29"/>
        <c:marker>
          <c:symbol val="none"/>
        </c:marker>
        <c:dLbl>
          <c:idx val="0"/>
          <c:delete val="1"/>
          <c:extLst>
            <c:ext xmlns:c15="http://schemas.microsoft.com/office/drawing/2012/chart" uri="{CE6537A1-D6FC-4f65-9D91-7224C49458BB}"/>
          </c:extLst>
        </c:dLbl>
      </c:pivotFmt>
      <c:pivotFmt>
        <c:idx val="30"/>
        <c:marker>
          <c:symbol val="none"/>
        </c:marker>
        <c:dLbl>
          <c:idx val="0"/>
          <c:delete val="1"/>
          <c:extLst>
            <c:ext xmlns:c15="http://schemas.microsoft.com/office/drawing/2012/chart" uri="{CE6537A1-D6FC-4f65-9D91-7224C49458BB}"/>
          </c:extLst>
        </c:dLbl>
      </c:pivotFmt>
      <c:pivotFmt>
        <c:idx val="31"/>
        <c:marker>
          <c:symbol val="none"/>
        </c:marker>
        <c:dLbl>
          <c:idx val="0"/>
          <c:delete val="1"/>
          <c:extLst>
            <c:ext xmlns:c15="http://schemas.microsoft.com/office/drawing/2012/chart" uri="{CE6537A1-D6FC-4f65-9D91-7224C49458BB}"/>
          </c:extLst>
        </c:dLbl>
      </c:pivotFmt>
      <c:pivotFmt>
        <c:idx val="32"/>
        <c:marker>
          <c:symbol val="none"/>
        </c:marker>
        <c:dLbl>
          <c:idx val="0"/>
          <c:delete val="1"/>
          <c:extLst>
            <c:ext xmlns:c15="http://schemas.microsoft.com/office/drawing/2012/chart" uri="{CE6537A1-D6FC-4f65-9D91-7224C49458BB}"/>
          </c:extLst>
        </c:dLbl>
      </c:pivotFmt>
      <c:pivotFmt>
        <c:idx val="33"/>
        <c:marker>
          <c:symbol val="none"/>
        </c:marker>
        <c:dLbl>
          <c:idx val="0"/>
          <c:delete val="1"/>
          <c:extLst>
            <c:ext xmlns:c15="http://schemas.microsoft.com/office/drawing/2012/chart" uri="{CE6537A1-D6FC-4f65-9D91-7224C49458BB}"/>
          </c:extLst>
        </c:dLbl>
      </c:pivotFmt>
    </c:pivotFmts>
    <c:plotArea>
      <c:layout>
        <c:manualLayout>
          <c:layoutTarget val="inner"/>
          <c:xMode val="edge"/>
          <c:yMode val="edge"/>
          <c:x val="0.14785624582363746"/>
          <c:y val="0.19416666666666665"/>
          <c:w val="0.72985482208275831"/>
          <c:h val="0.60063283756197139"/>
        </c:manualLayout>
      </c:layout>
      <c:barChart>
        <c:barDir val="col"/>
        <c:grouping val="clustered"/>
        <c:varyColors val="0"/>
        <c:ser>
          <c:idx val="4"/>
          <c:order val="0"/>
          <c:tx>
            <c:strRef>
              <c:f>'Pivot Table'!$B$25:$B$26</c:f>
              <c:strCache>
                <c:ptCount val="1"/>
                <c:pt idx="0">
                  <c:v>No</c:v>
                </c:pt>
              </c:strCache>
            </c:strRef>
          </c:tx>
          <c:invertIfNegative val="0"/>
          <c:cat>
            <c:strRef>
              <c:f>'Pivot Table'!$A$27:$A$31</c:f>
              <c:strCache>
                <c:ptCount val="4"/>
                <c:pt idx="0">
                  <c:v>0-5</c:v>
                </c:pt>
                <c:pt idx="1">
                  <c:v>5-10</c:v>
                </c:pt>
                <c:pt idx="2">
                  <c:v>10-15</c:v>
                </c:pt>
                <c:pt idx="3">
                  <c:v>15-20</c:v>
                </c:pt>
              </c:strCache>
            </c:strRef>
          </c:cat>
          <c:val>
            <c:numRef>
              <c:f>'Pivot Table'!$B$27:$B$31</c:f>
              <c:numCache>
                <c:formatCode>0.0</c:formatCode>
                <c:ptCount val="4"/>
                <c:pt idx="0">
                  <c:v>1.5899683351309437</c:v>
                </c:pt>
                <c:pt idx="1">
                  <c:v>1.7635621569463158</c:v>
                </c:pt>
                <c:pt idx="2">
                  <c:v>1.9225190821584082</c:v>
                </c:pt>
                <c:pt idx="3">
                  <c:v>2.0316283102318211</c:v>
                </c:pt>
              </c:numCache>
            </c:numRef>
          </c:val>
          <c:extLst>
            <c:ext xmlns:c16="http://schemas.microsoft.com/office/drawing/2014/chart" uri="{C3380CC4-5D6E-409C-BE32-E72D297353CC}">
              <c16:uniqueId val="{00000000-B8D9-4508-8936-B75FE77314FA}"/>
            </c:ext>
          </c:extLst>
        </c:ser>
        <c:ser>
          <c:idx val="0"/>
          <c:order val="1"/>
          <c:tx>
            <c:strRef>
              <c:f>'Pivot Table'!$C$25:$C$26</c:f>
              <c:strCache>
                <c:ptCount val="1"/>
                <c:pt idx="0">
                  <c:v>Yes</c:v>
                </c:pt>
              </c:strCache>
            </c:strRef>
          </c:tx>
          <c:invertIfNegative val="0"/>
          <c:cat>
            <c:strRef>
              <c:f>'Pivot Table'!$A$27:$A$31</c:f>
              <c:strCache>
                <c:ptCount val="4"/>
                <c:pt idx="0">
                  <c:v>0-5</c:v>
                </c:pt>
                <c:pt idx="1">
                  <c:v>5-10</c:v>
                </c:pt>
                <c:pt idx="2">
                  <c:v>10-15</c:v>
                </c:pt>
                <c:pt idx="3">
                  <c:v>15-20</c:v>
                </c:pt>
              </c:strCache>
            </c:strRef>
          </c:cat>
          <c:val>
            <c:numRef>
              <c:f>'Pivot Table'!$C$27:$C$31</c:f>
              <c:numCache>
                <c:formatCode>0.0</c:formatCode>
                <c:ptCount val="4"/>
                <c:pt idx="0">
                  <c:v>1.952237986661266</c:v>
                </c:pt>
                <c:pt idx="1">
                  <c:v>2.0387123220282866</c:v>
                </c:pt>
                <c:pt idx="2">
                  <c:v>2.1812697418024487</c:v>
                </c:pt>
                <c:pt idx="3">
                  <c:v>2.2641143712586516</c:v>
                </c:pt>
              </c:numCache>
            </c:numRef>
          </c:val>
          <c:extLst>
            <c:ext xmlns:c16="http://schemas.microsoft.com/office/drawing/2014/chart" uri="{C3380CC4-5D6E-409C-BE32-E72D297353CC}">
              <c16:uniqueId val="{00000001-B8D9-4508-8936-B75FE77314FA}"/>
            </c:ext>
          </c:extLst>
        </c:ser>
        <c:dLbls>
          <c:showLegendKey val="0"/>
          <c:showVal val="0"/>
          <c:showCatName val="0"/>
          <c:showSerName val="0"/>
          <c:showPercent val="0"/>
          <c:showBubbleSize val="0"/>
        </c:dLbls>
        <c:gapWidth val="219"/>
        <c:overlap val="-27"/>
        <c:axId val="156534416"/>
        <c:axId val="156526256"/>
      </c:barChart>
      <c:catAx>
        <c:axId val="15653441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Tutoring Status</a:t>
                </a:r>
              </a:p>
            </c:rich>
          </c:tx>
          <c:overlay val="0"/>
          <c:spPr>
            <a:noFill/>
            <a:ln>
              <a:noFill/>
            </a:ln>
            <a:effectLst/>
          </c:sp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6526256"/>
        <c:crosses val="autoZero"/>
        <c:auto val="1"/>
        <c:lblAlgn val="ctr"/>
        <c:lblOffset val="100"/>
        <c:noMultiLvlLbl val="0"/>
      </c:catAx>
      <c:valAx>
        <c:axId val="15652625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Average GPA</a:t>
                </a:r>
              </a:p>
            </c:rich>
          </c:tx>
          <c:layout>
            <c:manualLayout>
              <c:xMode val="edge"/>
              <c:yMode val="edge"/>
              <c:x val="2.6653167991350101E-2"/>
              <c:y val="0.36344123651210264"/>
            </c:manualLayout>
          </c:layout>
          <c:overlay val="0"/>
          <c:spPr>
            <a:noFill/>
            <a:ln>
              <a:noFill/>
            </a:ln>
            <a:effectLst/>
          </c:spPr>
        </c:title>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6534416"/>
        <c:crosses val="autoZero"/>
        <c:crossBetween val="between"/>
      </c:valAx>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chart>
  <c:txPr>
    <a:bodyPr/>
    <a:lstStyle/>
    <a:p>
      <a:pPr>
        <a:defRPr/>
      </a:pPr>
      <a:endParaRPr lang="en-US"/>
    </a:p>
  </c:txPr>
  <c:externalData r:id="rId1">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[Student_performance_data _.xlsx]Pivot Table!PivotTable1</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900" b="1">
                <a:latin typeface="Montserrat" pitchFamily="2" charset="0"/>
              </a:rPr>
              <a:t>Impact of</a:t>
            </a:r>
            <a:r>
              <a:rPr lang="en-US" sz="900" b="1" baseline="0">
                <a:latin typeface="Montserrat" pitchFamily="2" charset="0"/>
              </a:rPr>
              <a:t> Parental Education on Student GPA</a:t>
            </a:r>
          </a:p>
          <a:p>
            <a:pPr>
              <a:defRPr/>
            </a:pPr>
            <a:r>
              <a:rPr lang="en-US" sz="900" b="1" baseline="0">
                <a:latin typeface="Montserrat" pitchFamily="2" charset="0"/>
              </a:rPr>
              <a:t> &amp; School Attendance</a:t>
            </a:r>
            <a:endParaRPr lang="en-US" sz="900" b="1">
              <a:latin typeface="Montserrat" pitchFamily="2" charset="0"/>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'Pivot Table'!$B$3:$B$4</c:f>
              <c:strCache>
                <c:ptCount val="1"/>
                <c:pt idx="0">
                  <c:v>None</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'Pivot Table'!$A$5:$A$9</c:f>
              <c:strCache>
                <c:ptCount val="4"/>
                <c:pt idx="0">
                  <c:v>Bachelor's</c:v>
                </c:pt>
                <c:pt idx="1">
                  <c:v>High School</c:v>
                </c:pt>
                <c:pt idx="2">
                  <c:v>None</c:v>
                </c:pt>
                <c:pt idx="3">
                  <c:v>Some College</c:v>
                </c:pt>
              </c:strCache>
            </c:strRef>
          </c:cat>
          <c:val>
            <c:numRef>
              <c:f>'Pivot Table'!$B$5:$B$9</c:f>
              <c:numCache>
                <c:formatCode>0.0</c:formatCode>
                <c:ptCount val="4"/>
                <c:pt idx="0">
                  <c:v>1.2220521546402459</c:v>
                </c:pt>
                <c:pt idx="1">
                  <c:v>1.5597094025063347</c:v>
                </c:pt>
                <c:pt idx="2">
                  <c:v>1.509600272472595</c:v>
                </c:pt>
                <c:pt idx="3">
                  <c:v>1.6748772554771494</c:v>
                </c:pt>
              </c:numCache>
            </c:numRef>
          </c:val>
          <c:extLst>
            <c:ext xmlns:c16="http://schemas.microsoft.com/office/drawing/2014/chart" uri="{C3380CC4-5D6E-409C-BE32-E72D297353CC}">
              <c16:uniqueId val="{00000000-0CCB-4EB7-A6C3-CBF6EFDB8CB3}"/>
            </c:ext>
          </c:extLst>
        </c:ser>
        <c:ser>
          <c:idx val="1"/>
          <c:order val="1"/>
          <c:tx>
            <c:strRef>
              <c:f>'Pivot Table'!$C$3:$C$4</c:f>
              <c:strCache>
                <c:ptCount val="1"/>
                <c:pt idx="0">
                  <c:v>Low</c:v>
                </c:pt>
              </c:strCache>
            </c:strRef>
          </c:tx>
          <c:spPr>
            <a:solidFill>
              <a:schemeClr val="accent2"/>
            </a:solidFill>
            <a:ln>
              <a:noFill/>
            </a:ln>
            <a:effectLst/>
          </c:spPr>
          <c:invertIfNegative val="0"/>
          <c:cat>
            <c:strRef>
              <c:f>'Pivot Table'!$A$5:$A$9</c:f>
              <c:strCache>
                <c:ptCount val="4"/>
                <c:pt idx="0">
                  <c:v>Bachelor's</c:v>
                </c:pt>
                <c:pt idx="1">
                  <c:v>High School</c:v>
                </c:pt>
                <c:pt idx="2">
                  <c:v>None</c:v>
                </c:pt>
                <c:pt idx="3">
                  <c:v>Some College</c:v>
                </c:pt>
              </c:strCache>
            </c:strRef>
          </c:cat>
          <c:val>
            <c:numRef>
              <c:f>'Pivot Table'!$C$5:$C$9</c:f>
              <c:numCache>
                <c:formatCode>0.0</c:formatCode>
                <c:ptCount val="4"/>
                <c:pt idx="0">
                  <c:v>1.698425735038249</c:v>
                </c:pt>
                <c:pt idx="1">
                  <c:v>1.7910424804572016</c:v>
                </c:pt>
                <c:pt idx="2">
                  <c:v>1.682444557832558</c:v>
                </c:pt>
                <c:pt idx="3">
                  <c:v>1.7665798466819593</c:v>
                </c:pt>
              </c:numCache>
            </c:numRef>
          </c:val>
          <c:extLst>
            <c:ext xmlns:c16="http://schemas.microsoft.com/office/drawing/2014/chart" uri="{C3380CC4-5D6E-409C-BE32-E72D297353CC}">
              <c16:uniqueId val="{0000001E-0CCB-4EB7-A6C3-CBF6EFDB8CB3}"/>
            </c:ext>
          </c:extLst>
        </c:ser>
        <c:ser>
          <c:idx val="2"/>
          <c:order val="2"/>
          <c:tx>
            <c:strRef>
              <c:f>'Pivot Table'!$D$3:$D$4</c:f>
              <c:strCache>
                <c:ptCount val="1"/>
                <c:pt idx="0">
                  <c:v>Moderate</c:v>
                </c:pt>
              </c:strCache>
            </c:strRef>
          </c:tx>
          <c:spPr>
            <a:solidFill>
              <a:schemeClr val="accent3"/>
            </a:solidFill>
            <a:ln>
              <a:noFill/>
            </a:ln>
            <a:effectLst/>
          </c:spPr>
          <c:invertIfNegative val="0"/>
          <c:cat>
            <c:strRef>
              <c:f>'Pivot Table'!$A$5:$A$9</c:f>
              <c:strCache>
                <c:ptCount val="4"/>
                <c:pt idx="0">
                  <c:v>Bachelor's</c:v>
                </c:pt>
                <c:pt idx="1">
                  <c:v>High School</c:v>
                </c:pt>
                <c:pt idx="2">
                  <c:v>None</c:v>
                </c:pt>
                <c:pt idx="3">
                  <c:v>Some College</c:v>
                </c:pt>
              </c:strCache>
            </c:strRef>
          </c:cat>
          <c:val>
            <c:numRef>
              <c:f>'Pivot Table'!$D$5:$D$9</c:f>
              <c:numCache>
                <c:formatCode>0.0</c:formatCode>
                <c:ptCount val="4"/>
                <c:pt idx="0">
                  <c:v>1.7645273472131782</c:v>
                </c:pt>
                <c:pt idx="1">
                  <c:v>1.9408195078999739</c:v>
                </c:pt>
                <c:pt idx="2">
                  <c:v>1.903597825396562</c:v>
                </c:pt>
                <c:pt idx="3">
                  <c:v>1.8772338434754128</c:v>
                </c:pt>
              </c:numCache>
            </c:numRef>
          </c:val>
          <c:extLst>
            <c:ext xmlns:c16="http://schemas.microsoft.com/office/drawing/2014/chart" uri="{C3380CC4-5D6E-409C-BE32-E72D297353CC}">
              <c16:uniqueId val="{0000001F-0CCB-4EB7-A6C3-CBF6EFDB8CB3}"/>
            </c:ext>
          </c:extLst>
        </c:ser>
        <c:ser>
          <c:idx val="3"/>
          <c:order val="3"/>
          <c:tx>
            <c:strRef>
              <c:f>'Pivot Table'!$E$3:$E$4</c:f>
              <c:strCache>
                <c:ptCount val="1"/>
                <c:pt idx="0">
                  <c:v>High</c:v>
                </c:pt>
              </c:strCache>
            </c:strRef>
          </c:tx>
          <c:spPr>
            <a:solidFill>
              <a:schemeClr val="accent4"/>
            </a:solidFill>
            <a:ln>
              <a:noFill/>
            </a:ln>
            <a:effectLst/>
          </c:spPr>
          <c:invertIfNegative val="0"/>
          <c:cat>
            <c:strRef>
              <c:f>'Pivot Table'!$A$5:$A$9</c:f>
              <c:strCache>
                <c:ptCount val="4"/>
                <c:pt idx="0">
                  <c:v>Bachelor's</c:v>
                </c:pt>
                <c:pt idx="1">
                  <c:v>High School</c:v>
                </c:pt>
                <c:pt idx="2">
                  <c:v>None</c:v>
                </c:pt>
                <c:pt idx="3">
                  <c:v>Some College</c:v>
                </c:pt>
              </c:strCache>
            </c:strRef>
          </c:cat>
          <c:val>
            <c:numRef>
              <c:f>'Pivot Table'!$E$5:$E$9</c:f>
              <c:numCache>
                <c:formatCode>0.0</c:formatCode>
                <c:ptCount val="4"/>
                <c:pt idx="0">
                  <c:v>2.040176867265374</c:v>
                </c:pt>
                <c:pt idx="1">
                  <c:v>1.9882593519648193</c:v>
                </c:pt>
                <c:pt idx="2">
                  <c:v>2.0381383999040601</c:v>
                </c:pt>
                <c:pt idx="3">
                  <c:v>2.0978398576564281</c:v>
                </c:pt>
              </c:numCache>
            </c:numRef>
          </c:val>
          <c:extLst>
            <c:ext xmlns:c16="http://schemas.microsoft.com/office/drawing/2014/chart" uri="{C3380CC4-5D6E-409C-BE32-E72D297353CC}">
              <c16:uniqueId val="{00000020-0CCB-4EB7-A6C3-CBF6EFDB8CB3}"/>
            </c:ext>
          </c:extLst>
        </c:ser>
        <c:ser>
          <c:idx val="4"/>
          <c:order val="4"/>
          <c:tx>
            <c:strRef>
              <c:f>'Pivot Table'!$F$3:$F$4</c:f>
              <c:strCache>
                <c:ptCount val="1"/>
                <c:pt idx="0">
                  <c:v>Very High</c:v>
                </c:pt>
              </c:strCache>
            </c:strRef>
          </c:tx>
          <c:spPr>
            <a:solidFill>
              <a:schemeClr val="accent5"/>
            </a:solidFill>
            <a:ln>
              <a:noFill/>
            </a:ln>
            <a:effectLst/>
          </c:spPr>
          <c:invertIfNegative val="0"/>
          <c:cat>
            <c:strRef>
              <c:f>'Pivot Table'!$A$5:$A$9</c:f>
              <c:strCache>
                <c:ptCount val="4"/>
                <c:pt idx="0">
                  <c:v>Bachelor's</c:v>
                </c:pt>
                <c:pt idx="1">
                  <c:v>High School</c:v>
                </c:pt>
                <c:pt idx="2">
                  <c:v>None</c:v>
                </c:pt>
                <c:pt idx="3">
                  <c:v>Some College</c:v>
                </c:pt>
              </c:strCache>
            </c:strRef>
          </c:cat>
          <c:val>
            <c:numRef>
              <c:f>'Pivot Table'!$F$5:$F$9</c:f>
              <c:numCache>
                <c:formatCode>0.0</c:formatCode>
                <c:ptCount val="4"/>
                <c:pt idx="0">
                  <c:v>2.1998587174235977</c:v>
                </c:pt>
                <c:pt idx="1">
                  <c:v>2.251555720011531</c:v>
                </c:pt>
                <c:pt idx="2">
                  <c:v>2.3142654684401038</c:v>
                </c:pt>
                <c:pt idx="3">
                  <c:v>2.1254384644891884</c:v>
                </c:pt>
              </c:numCache>
            </c:numRef>
          </c:val>
          <c:extLst>
            <c:ext xmlns:c16="http://schemas.microsoft.com/office/drawing/2014/chart" uri="{C3380CC4-5D6E-409C-BE32-E72D297353CC}">
              <c16:uniqueId val="{00000021-0CCB-4EB7-A6C3-CBF6EFDB8CB3}"/>
            </c:ext>
          </c:extLst>
        </c:ser>
        <c:dLbls>
          <c:showLegendKey val="0"/>
          <c:showVal val="0"/>
          <c:showCatName val="0"/>
          <c:showSerName val="0"/>
          <c:showPercent val="0"/>
          <c:showBubbleSize val="0"/>
        </c:dLbls>
        <c:gapWidth val="219"/>
        <c:overlap val="-27"/>
        <c:axId val="1979982544"/>
        <c:axId val="1979976784"/>
      </c:barChart>
      <c:catAx>
        <c:axId val="197998254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900"/>
                  <a:t>Parental</a:t>
                </a:r>
                <a:r>
                  <a:rPr lang="en-US" sz="900" baseline="0"/>
                  <a:t> Education</a:t>
                </a:r>
                <a:endParaRPr lang="en-US" sz="900"/>
              </a:p>
            </c:rich>
          </c:tx>
          <c:layout>
            <c:manualLayout>
              <c:xMode val="edge"/>
              <c:yMode val="edge"/>
              <c:x val="0.41015406853422781"/>
              <c:y val="0.92159292069652476"/>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79976784"/>
        <c:crosses val="autoZero"/>
        <c:auto val="1"/>
        <c:lblAlgn val="ctr"/>
        <c:lblOffset val="100"/>
        <c:noMultiLvlLbl val="0"/>
      </c:catAx>
      <c:valAx>
        <c:axId val="1979976784"/>
        <c:scaling>
          <c:orientation val="minMax"/>
        </c:scaling>
        <c:delete val="1"/>
        <c:axPos val="l"/>
        <c:title>
          <c:tx>
            <c:rich>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US" sz="900"/>
                  <a:t>Average GPA</a:t>
                </a:r>
              </a:p>
            </c:rich>
          </c:tx>
          <c:layout>
            <c:manualLayout>
              <c:xMode val="edge"/>
              <c:yMode val="edge"/>
              <c:x val="1.6321081384549095E-2"/>
              <c:y val="0.37786310459430772"/>
            </c:manualLayout>
          </c:layout>
          <c:overlay val="0"/>
          <c:spPr>
            <a:noFill/>
            <a:ln>
              <a:noFill/>
            </a:ln>
            <a:effectLst/>
          </c:spPr>
          <c:txPr>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0.0" sourceLinked="1"/>
        <c:majorTickMark val="none"/>
        <c:minorTickMark val="none"/>
        <c:tickLblPos val="nextTo"/>
        <c:crossAx val="1979982544"/>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[Student_performance_data _.xlsx]Pivot Table!PivotTable5</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800" b="1">
                <a:latin typeface="Montserrat" pitchFamily="2" charset="0"/>
              </a:rPr>
              <a:t>Profile of Top</a:t>
            </a:r>
            <a:r>
              <a:rPr lang="en-US" sz="800" b="1" baseline="0">
                <a:latin typeface="Montserrat" pitchFamily="2" charset="0"/>
              </a:rPr>
              <a:t>-Performing Students (&gt;3.5):</a:t>
            </a:r>
          </a:p>
          <a:p>
            <a:pPr>
              <a:defRPr sz="1400" b="0" i="0" u="none" strike="noStrike" kern="1200" spc="0" baseline="0">
                <a:solidFill>
                  <a:schemeClr val="tx1">
                    <a:lumMod val="65000"/>
                    <a:lumOff val="35000"/>
                  </a:schemeClr>
                </a:solidFill>
                <a:latin typeface="+mn-lt"/>
                <a:ea typeface="+mn-ea"/>
                <a:cs typeface="+mn-cs"/>
              </a:defRPr>
            </a:pPr>
            <a:r>
              <a:rPr lang="en-US" sz="800" b="1" baseline="0">
                <a:latin typeface="Montserrat" pitchFamily="2" charset="0"/>
              </a:rPr>
              <a:t>Parental Support &amp; Tutoring Utilization</a:t>
            </a:r>
            <a:endParaRPr lang="en-US" sz="800" b="1">
              <a:latin typeface="Montserrat" pitchFamily="2" charset="0"/>
            </a:endParaRPr>
          </a:p>
        </c:rich>
      </c:tx>
      <c:overlay val="0"/>
      <c:spPr>
        <a:noFill/>
        <a:ln>
          <a:noFill/>
        </a:ln>
        <a:effectLst/>
      </c:spPr>
    </c:title>
    <c:autoTitleDeleted val="0"/>
    <c:pivotFmts>
      <c:pivotFmt>
        <c:idx val="0"/>
        <c:spPr>
          <a:solidFill>
            <a:schemeClr val="accent1"/>
          </a:solidFill>
          <a:ln>
            <a:noFill/>
          </a:ln>
          <a:effectLst/>
        </c:spPr>
        <c:marker>
          <c:symbol val="none"/>
        </c:marker>
        <c:dLbl>
          <c:idx val="0"/>
          <c:delete val="1"/>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delete val="1"/>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delete val="1"/>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delete val="1"/>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delete val="1"/>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delete val="1"/>
          <c:extLst>
            <c:ext xmlns:c15="http://schemas.microsoft.com/office/drawing/2012/chart" uri="{CE6537A1-D6FC-4f65-9D91-7224C49458BB}"/>
          </c:extLst>
        </c:dLbl>
      </c:pivotFmt>
      <c:pivotFmt>
        <c:idx val="6"/>
        <c:spPr>
          <a:solidFill>
            <a:schemeClr val="accent1"/>
          </a:solidFill>
        </c:spPr>
        <c:marker>
          <c:symbol val="none"/>
        </c:marker>
        <c:dLbl>
          <c:idx val="0"/>
          <c:delete val="1"/>
          <c:extLst>
            <c:ext xmlns:c15="http://schemas.microsoft.com/office/drawing/2012/chart" uri="{CE6537A1-D6FC-4f65-9D91-7224C49458BB}"/>
          </c:extLst>
        </c:dLbl>
      </c:pivotFmt>
      <c:pivotFmt>
        <c:idx val="7"/>
        <c:spPr>
          <a:solidFill>
            <a:schemeClr val="accent2"/>
          </a:solidFill>
        </c:spPr>
        <c:marker>
          <c:symbol val="none"/>
        </c:marker>
        <c:dLbl>
          <c:idx val="0"/>
          <c:delete val="1"/>
          <c:extLst>
            <c:ext xmlns:c15="http://schemas.microsoft.com/office/drawing/2012/chart" uri="{CE6537A1-D6FC-4f65-9D91-7224C49458BB}"/>
          </c:extLst>
        </c:dLbl>
      </c:pivotFmt>
      <c:pivotFmt>
        <c:idx val="8"/>
        <c:spPr>
          <a:solidFill>
            <a:schemeClr val="accent1"/>
          </a:solidFill>
        </c:spPr>
        <c:marker>
          <c:symbol val="none"/>
        </c:marker>
        <c:dLbl>
          <c:idx val="0"/>
          <c:delete val="1"/>
          <c:extLst>
            <c:ext xmlns:c15="http://schemas.microsoft.com/office/drawing/2012/chart" uri="{CE6537A1-D6FC-4f65-9D91-7224C49458BB}"/>
          </c:extLst>
        </c:dLbl>
      </c:pivotFmt>
      <c:pivotFmt>
        <c:idx val="9"/>
        <c:spPr>
          <a:solidFill>
            <a:schemeClr val="accent2"/>
          </a:solidFill>
        </c:spPr>
        <c:marker>
          <c:symbol val="none"/>
        </c:marker>
        <c:dLbl>
          <c:idx val="0"/>
          <c:delete val="1"/>
          <c:extLst>
            <c:ext xmlns:c15="http://schemas.microsoft.com/office/drawing/2012/chart" uri="{CE6537A1-D6FC-4f65-9D91-7224C49458BB}"/>
          </c:extLst>
        </c:dLbl>
      </c:pivotFmt>
      <c:pivotFmt>
        <c:idx val="10"/>
        <c:spPr>
          <a:solidFill>
            <a:schemeClr val="accent1"/>
          </a:solidFill>
        </c:spPr>
        <c:marker>
          <c:symbol val="none"/>
        </c:marker>
        <c:dLbl>
          <c:idx val="0"/>
          <c:delete val="1"/>
          <c:extLst>
            <c:ext xmlns:c15="http://schemas.microsoft.com/office/drawing/2012/chart" uri="{CE6537A1-D6FC-4f65-9D91-7224C49458BB}"/>
          </c:extLst>
        </c:dLbl>
      </c:pivotFmt>
      <c:pivotFmt>
        <c:idx val="11"/>
        <c:spPr>
          <a:solidFill>
            <a:schemeClr val="accent2"/>
          </a:solidFill>
        </c:spPr>
        <c:marker>
          <c:symbol val="none"/>
        </c:marker>
        <c:dLbl>
          <c:idx val="0"/>
          <c:delete val="1"/>
          <c:extLst>
            <c:ext xmlns:c15="http://schemas.microsoft.com/office/drawing/2012/chart" uri="{CE6537A1-D6FC-4f65-9D91-7224C49458BB}"/>
          </c:extLst>
        </c:dLbl>
      </c:pivotFmt>
      <c:pivotFmt>
        <c:idx val="12"/>
        <c:spPr>
          <a:solidFill>
            <a:schemeClr val="accent1"/>
          </a:solidFill>
        </c:spPr>
        <c:marker>
          <c:symbol val="none"/>
        </c:marker>
        <c:dLbl>
          <c:idx val="0"/>
          <c:delete val="1"/>
          <c:extLst>
            <c:ext xmlns:c15="http://schemas.microsoft.com/office/drawing/2012/chart" uri="{CE6537A1-D6FC-4f65-9D91-7224C49458BB}"/>
          </c:extLst>
        </c:dLbl>
      </c:pivotFmt>
      <c:pivotFmt>
        <c:idx val="13"/>
        <c:spPr>
          <a:solidFill>
            <a:schemeClr val="accent2"/>
          </a:solidFill>
        </c:spPr>
        <c:marker>
          <c:symbol val="none"/>
        </c:marker>
        <c:dLbl>
          <c:idx val="0"/>
          <c:delete val="1"/>
          <c:extLst>
            <c:ext xmlns:c15="http://schemas.microsoft.com/office/drawing/2012/chart" uri="{CE6537A1-D6FC-4f65-9D91-7224C49458BB}"/>
          </c:extLst>
        </c:dLbl>
      </c:pivotFmt>
      <c:pivotFmt>
        <c:idx val="14"/>
        <c:spPr>
          <a:solidFill>
            <a:schemeClr val="accent1"/>
          </a:solidFill>
        </c:spPr>
        <c:marker>
          <c:symbol val="none"/>
        </c:marker>
        <c:dLbl>
          <c:idx val="0"/>
          <c:delete val="1"/>
          <c:extLst>
            <c:ext xmlns:c15="http://schemas.microsoft.com/office/drawing/2012/chart" uri="{CE6537A1-D6FC-4f65-9D91-7224C49458BB}"/>
          </c:extLst>
        </c:dLbl>
      </c:pivotFmt>
      <c:pivotFmt>
        <c:idx val="15"/>
        <c:spPr>
          <a:solidFill>
            <a:schemeClr val="accent2"/>
          </a:solidFill>
        </c:spPr>
        <c:marker>
          <c:symbol val="none"/>
        </c:marker>
        <c:dLbl>
          <c:idx val="0"/>
          <c:delete val="1"/>
          <c:extLst>
            <c:ext xmlns:c15="http://schemas.microsoft.com/office/drawing/2012/chart" uri="{CE6537A1-D6FC-4f65-9D91-7224C49458BB}"/>
          </c:extLst>
        </c:dLbl>
      </c:pivotFmt>
    </c:pivotFmts>
    <c:plotArea>
      <c:layout>
        <c:manualLayout>
          <c:layoutTarget val="inner"/>
          <c:xMode val="edge"/>
          <c:yMode val="edge"/>
          <c:x val="0.21690957747928569"/>
          <c:y val="0.20707547169811319"/>
          <c:w val="0.62218645463434719"/>
          <c:h val="0.58619860017497816"/>
        </c:manualLayout>
      </c:layout>
      <c:barChart>
        <c:barDir val="bar"/>
        <c:grouping val="clustered"/>
        <c:varyColors val="0"/>
        <c:ser>
          <c:idx val="2"/>
          <c:order val="0"/>
          <c:tx>
            <c:strRef>
              <c:f>'Pivot Table'!$B$49:$B$50</c:f>
              <c:strCache>
                <c:ptCount val="1"/>
                <c:pt idx="0">
                  <c:v>No</c:v>
                </c:pt>
              </c:strCache>
            </c:strRef>
          </c:tx>
          <c:spPr>
            <a:solidFill>
              <a:schemeClr val="accent1"/>
            </a:solidFill>
          </c:spPr>
          <c:invertIfNegative val="0"/>
          <c:cat>
            <c:strRef>
              <c:f>'Pivot Table'!$A$51:$A$56</c:f>
              <c:strCache>
                <c:ptCount val="5"/>
                <c:pt idx="0">
                  <c:v>None</c:v>
                </c:pt>
                <c:pt idx="1">
                  <c:v>Low</c:v>
                </c:pt>
                <c:pt idx="2">
                  <c:v>Moderate</c:v>
                </c:pt>
                <c:pt idx="3">
                  <c:v>High</c:v>
                </c:pt>
                <c:pt idx="4">
                  <c:v>Very High</c:v>
                </c:pt>
              </c:strCache>
            </c:strRef>
          </c:cat>
          <c:val>
            <c:numRef>
              <c:f>'Pivot Table'!$B$51:$B$56</c:f>
              <c:numCache>
                <c:formatCode>General</c:formatCode>
                <c:ptCount val="5"/>
                <c:pt idx="1">
                  <c:v>5</c:v>
                </c:pt>
                <c:pt idx="2">
                  <c:v>11</c:v>
                </c:pt>
                <c:pt idx="3">
                  <c:v>19</c:v>
                </c:pt>
                <c:pt idx="4">
                  <c:v>9</c:v>
                </c:pt>
              </c:numCache>
            </c:numRef>
          </c:val>
          <c:extLst>
            <c:ext xmlns:c16="http://schemas.microsoft.com/office/drawing/2014/chart" uri="{C3380CC4-5D6E-409C-BE32-E72D297353CC}">
              <c16:uniqueId val="{00000000-628D-40AC-B27E-1E63AE878927}"/>
            </c:ext>
          </c:extLst>
        </c:ser>
        <c:ser>
          <c:idx val="0"/>
          <c:order val="1"/>
          <c:tx>
            <c:strRef>
              <c:f>'Pivot Table'!$C$49:$C$50</c:f>
              <c:strCache>
                <c:ptCount val="1"/>
                <c:pt idx="0">
                  <c:v>Yes</c:v>
                </c:pt>
              </c:strCache>
            </c:strRef>
          </c:tx>
          <c:invertIfNegative val="0"/>
          <c:cat>
            <c:strRef>
              <c:f>'Pivot Table'!$A$51:$A$56</c:f>
              <c:strCache>
                <c:ptCount val="5"/>
                <c:pt idx="0">
                  <c:v>None</c:v>
                </c:pt>
                <c:pt idx="1">
                  <c:v>Low</c:v>
                </c:pt>
                <c:pt idx="2">
                  <c:v>Moderate</c:v>
                </c:pt>
                <c:pt idx="3">
                  <c:v>High</c:v>
                </c:pt>
                <c:pt idx="4">
                  <c:v>Very High</c:v>
                </c:pt>
              </c:strCache>
            </c:strRef>
          </c:cat>
          <c:val>
            <c:numRef>
              <c:f>'Pivot Table'!$C$51:$C$56</c:f>
              <c:numCache>
                <c:formatCode>General</c:formatCode>
                <c:ptCount val="5"/>
                <c:pt idx="0">
                  <c:v>2</c:v>
                </c:pt>
                <c:pt idx="1">
                  <c:v>4</c:v>
                </c:pt>
                <c:pt idx="2">
                  <c:v>17</c:v>
                </c:pt>
                <c:pt idx="3">
                  <c:v>18</c:v>
                </c:pt>
                <c:pt idx="4">
                  <c:v>14</c:v>
                </c:pt>
              </c:numCache>
            </c:numRef>
          </c:val>
          <c:extLst>
            <c:ext xmlns:c16="http://schemas.microsoft.com/office/drawing/2014/chart" uri="{C3380CC4-5D6E-409C-BE32-E72D297353CC}">
              <c16:uniqueId val="{00000004-628D-40AC-B27E-1E63AE878927}"/>
            </c:ext>
          </c:extLst>
        </c:ser>
        <c:dLbls>
          <c:showLegendKey val="0"/>
          <c:showVal val="0"/>
          <c:showCatName val="0"/>
          <c:showSerName val="0"/>
          <c:showPercent val="0"/>
          <c:showBubbleSize val="0"/>
        </c:dLbls>
        <c:gapWidth val="219"/>
        <c:axId val="268231920"/>
        <c:axId val="268227120"/>
      </c:barChart>
      <c:catAx>
        <c:axId val="268231920"/>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600"/>
                  <a:t>Level of Parental Spport</a:t>
                </a:r>
              </a:p>
            </c:rich>
          </c:tx>
          <c:layout>
            <c:manualLayout>
              <c:xMode val="edge"/>
              <c:yMode val="edge"/>
              <c:x val="4.2856024833049511E-2"/>
              <c:y val="0.33331572294555262"/>
            </c:manualLayout>
          </c:layout>
          <c:overlay val="0"/>
          <c:spPr>
            <a:noFill/>
            <a:ln>
              <a:noFill/>
            </a:ln>
            <a:effectLst/>
          </c:spPr>
        </c:title>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68227120"/>
        <c:crosses val="autoZero"/>
        <c:auto val="1"/>
        <c:lblAlgn val="ctr"/>
        <c:lblOffset val="100"/>
        <c:noMultiLvlLbl val="0"/>
      </c:catAx>
      <c:valAx>
        <c:axId val="26822712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600"/>
                  <a:t>No.</a:t>
                </a:r>
                <a:r>
                  <a:rPr lang="en-US" sz="600" baseline="0"/>
                  <a:t> of Top Performing Students</a:t>
                </a:r>
                <a:endParaRPr lang="en-US" sz="600"/>
              </a:p>
            </c:rich>
          </c:tx>
          <c:overlay val="0"/>
          <c:spPr>
            <a:noFill/>
            <a:ln>
              <a:noFill/>
            </a:ln>
            <a:effectLst/>
          </c:sp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68231920"/>
        <c:crosses val="autoZero"/>
        <c:crossBetween val="between"/>
      </c:valAx>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chart>
  <c:txPr>
    <a:bodyPr/>
    <a:lstStyle/>
    <a:p>
      <a:pPr>
        <a:defRPr/>
      </a:pPr>
      <a:endParaRPr lang="en-US"/>
    </a:p>
  </c:txPr>
  <c:externalData r:id="rId1">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[Student_performance_data _.xlsx]Pivot Table!PivotTable8</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050" b="1">
                <a:latin typeface="Montserrat" pitchFamily="2" charset="0"/>
              </a:rPr>
              <a:t>Grade Distribution by Gender &amp; Extracurricular Participation</a:t>
            </a:r>
          </a:p>
        </c:rich>
      </c:tx>
      <c:overlay val="0"/>
      <c:spPr>
        <a:noFill/>
        <a:ln>
          <a:noFill/>
        </a:ln>
        <a:effectLst/>
      </c:spPr>
    </c:title>
    <c:autoTitleDeleted val="0"/>
    <c:pivotFmts>
      <c:pivotFmt>
        <c:idx val="0"/>
        <c:spPr>
          <a:solidFill>
            <a:schemeClr val="accent1"/>
          </a:solidFill>
          <a:ln>
            <a:noFill/>
          </a:ln>
          <a:effectLst/>
        </c:spPr>
        <c:marker>
          <c:symbol val="none"/>
        </c:marker>
        <c:dLbl>
          <c:idx val="0"/>
          <c:delete val="1"/>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delete val="1"/>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delete val="1"/>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delete val="1"/>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delete val="1"/>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delete val="1"/>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delete val="1"/>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delete val="1"/>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delete val="1"/>
          <c:extLst>
            <c:ext xmlns:c15="http://schemas.microsoft.com/office/drawing/2012/chart" uri="{CE6537A1-D6FC-4f65-9D91-7224C49458BB}"/>
          </c:extLst>
        </c:dLbl>
      </c:pivotFmt>
      <c:pivotFmt>
        <c:idx val="9"/>
        <c:spPr>
          <a:solidFill>
            <a:schemeClr val="accent1"/>
          </a:solidFill>
          <a:ln>
            <a:noFill/>
          </a:ln>
          <a:effectLst/>
        </c:spPr>
        <c:marker>
          <c:symbol val="none"/>
        </c:marker>
        <c:dLbl>
          <c:idx val="0"/>
          <c:delete val="1"/>
          <c:extLst>
            <c:ext xmlns:c15="http://schemas.microsoft.com/office/drawing/2012/chart" uri="{CE6537A1-D6FC-4f65-9D91-7224C49458BB}"/>
          </c:extLst>
        </c:dLbl>
      </c:pivotFmt>
      <c:pivotFmt>
        <c:idx val="10"/>
        <c:spPr>
          <a:solidFill>
            <a:schemeClr val="accent1"/>
          </a:solidFill>
          <a:ln>
            <a:noFill/>
          </a:ln>
          <a:effectLst/>
        </c:spPr>
        <c:marker>
          <c:symbol val="none"/>
        </c:marker>
        <c:dLbl>
          <c:idx val="0"/>
          <c:delete val="1"/>
          <c:extLst>
            <c:ext xmlns:c15="http://schemas.microsoft.com/office/drawing/2012/chart" uri="{CE6537A1-D6FC-4f65-9D91-7224C49458BB}"/>
          </c:extLst>
        </c:dLbl>
      </c:pivotFmt>
      <c:pivotFmt>
        <c:idx val="11"/>
        <c:spPr>
          <a:solidFill>
            <a:schemeClr val="accent1"/>
          </a:solidFill>
          <a:ln>
            <a:noFill/>
          </a:ln>
          <a:effectLst/>
        </c:spPr>
        <c:marker>
          <c:symbol val="none"/>
        </c:marker>
        <c:dLbl>
          <c:idx val="0"/>
          <c:delete val="1"/>
          <c:extLst>
            <c:ext xmlns:c15="http://schemas.microsoft.com/office/drawing/2012/chart" uri="{CE6537A1-D6FC-4f65-9D91-7224C49458BB}"/>
          </c:extLst>
        </c:dLbl>
      </c:pivotFmt>
      <c:pivotFmt>
        <c:idx val="12"/>
        <c:spPr>
          <a:solidFill>
            <a:srgbClr val="C00000"/>
          </a:solidFill>
        </c:spPr>
        <c:marker>
          <c:symbol val="none"/>
        </c:marker>
        <c:dLbl>
          <c:idx val="0"/>
          <c:delete val="1"/>
          <c:extLst>
            <c:ext xmlns:c15="http://schemas.microsoft.com/office/drawing/2012/chart" uri="{CE6537A1-D6FC-4f65-9D91-7224C49458BB}"/>
          </c:extLst>
        </c:dLbl>
      </c:pivotFmt>
      <c:pivotFmt>
        <c:idx val="13"/>
        <c:spPr>
          <a:solidFill>
            <a:schemeClr val="bg2">
              <a:lumMod val="50000"/>
            </a:schemeClr>
          </a:solidFill>
        </c:spPr>
        <c:marker>
          <c:symbol val="none"/>
        </c:marker>
        <c:dLbl>
          <c:idx val="0"/>
          <c:delete val="1"/>
          <c:extLst>
            <c:ext xmlns:c15="http://schemas.microsoft.com/office/drawing/2012/chart" uri="{CE6537A1-D6FC-4f65-9D91-7224C49458BB}"/>
          </c:extLst>
        </c:dLbl>
      </c:pivotFmt>
      <c:pivotFmt>
        <c:idx val="14"/>
        <c:spPr>
          <a:solidFill>
            <a:schemeClr val="accent1"/>
          </a:solidFill>
        </c:spPr>
        <c:marker>
          <c:symbol val="none"/>
        </c:marker>
        <c:dLbl>
          <c:idx val="0"/>
          <c:delete val="1"/>
          <c:extLst>
            <c:ext xmlns:c15="http://schemas.microsoft.com/office/drawing/2012/chart" uri="{CE6537A1-D6FC-4f65-9D91-7224C49458BB}"/>
          </c:extLst>
        </c:dLbl>
      </c:pivotFmt>
      <c:pivotFmt>
        <c:idx val="15"/>
        <c:spPr>
          <a:solidFill>
            <a:schemeClr val="accent2"/>
          </a:solidFill>
        </c:spPr>
        <c:marker>
          <c:symbol val="none"/>
        </c:marker>
        <c:dLbl>
          <c:idx val="0"/>
          <c:delete val="1"/>
          <c:extLst>
            <c:ext xmlns:c15="http://schemas.microsoft.com/office/drawing/2012/chart" uri="{CE6537A1-D6FC-4f65-9D91-7224C49458BB}"/>
          </c:extLst>
        </c:dLbl>
      </c:pivotFmt>
      <c:pivotFmt>
        <c:idx val="16"/>
        <c:spPr>
          <a:solidFill>
            <a:srgbClr val="C00000"/>
          </a:solidFill>
        </c:spPr>
        <c:marker>
          <c:symbol val="none"/>
        </c:marker>
        <c:dLbl>
          <c:idx val="0"/>
          <c:delete val="1"/>
          <c:extLst>
            <c:ext xmlns:c15="http://schemas.microsoft.com/office/drawing/2012/chart" uri="{CE6537A1-D6FC-4f65-9D91-7224C49458BB}"/>
          </c:extLst>
        </c:dLbl>
      </c:pivotFmt>
      <c:pivotFmt>
        <c:idx val="17"/>
        <c:spPr>
          <a:solidFill>
            <a:schemeClr val="bg2">
              <a:lumMod val="50000"/>
            </a:schemeClr>
          </a:solidFill>
        </c:spPr>
        <c:marker>
          <c:symbol val="none"/>
        </c:marker>
        <c:dLbl>
          <c:idx val="0"/>
          <c:delete val="1"/>
          <c:extLst>
            <c:ext xmlns:c15="http://schemas.microsoft.com/office/drawing/2012/chart" uri="{CE6537A1-D6FC-4f65-9D91-7224C49458BB}"/>
          </c:extLst>
        </c:dLbl>
      </c:pivotFmt>
      <c:pivotFmt>
        <c:idx val="18"/>
        <c:spPr>
          <a:solidFill>
            <a:schemeClr val="accent1"/>
          </a:solidFill>
        </c:spPr>
        <c:marker>
          <c:symbol val="none"/>
        </c:marker>
        <c:dLbl>
          <c:idx val="0"/>
          <c:delete val="1"/>
          <c:extLst>
            <c:ext xmlns:c15="http://schemas.microsoft.com/office/drawing/2012/chart" uri="{CE6537A1-D6FC-4f65-9D91-7224C49458BB}"/>
          </c:extLst>
        </c:dLbl>
      </c:pivotFmt>
      <c:pivotFmt>
        <c:idx val="19"/>
        <c:spPr>
          <a:solidFill>
            <a:schemeClr val="accent2"/>
          </a:solidFill>
        </c:spPr>
        <c:marker>
          <c:symbol val="none"/>
        </c:marker>
        <c:dLbl>
          <c:idx val="0"/>
          <c:delete val="1"/>
          <c:extLst>
            <c:ext xmlns:c15="http://schemas.microsoft.com/office/drawing/2012/chart" uri="{CE6537A1-D6FC-4f65-9D91-7224C49458BB}"/>
          </c:extLst>
        </c:dLbl>
      </c:pivotFmt>
      <c:pivotFmt>
        <c:idx val="20"/>
        <c:spPr>
          <a:solidFill>
            <a:srgbClr val="C00000"/>
          </a:solidFill>
        </c:spPr>
        <c:marker>
          <c:symbol val="none"/>
        </c:marker>
        <c:dLbl>
          <c:idx val="0"/>
          <c:delete val="1"/>
          <c:extLst>
            <c:ext xmlns:c15="http://schemas.microsoft.com/office/drawing/2012/chart" uri="{CE6537A1-D6FC-4f65-9D91-7224C49458BB}"/>
          </c:extLst>
        </c:dLbl>
      </c:pivotFmt>
      <c:pivotFmt>
        <c:idx val="21"/>
        <c:spPr>
          <a:solidFill>
            <a:schemeClr val="bg2">
              <a:lumMod val="50000"/>
            </a:schemeClr>
          </a:solidFill>
        </c:spPr>
        <c:marker>
          <c:symbol val="none"/>
        </c:marker>
        <c:dLbl>
          <c:idx val="0"/>
          <c:delete val="1"/>
          <c:extLst>
            <c:ext xmlns:c15="http://schemas.microsoft.com/office/drawing/2012/chart" uri="{CE6537A1-D6FC-4f65-9D91-7224C49458BB}"/>
          </c:extLst>
        </c:dLbl>
      </c:pivotFmt>
      <c:pivotFmt>
        <c:idx val="22"/>
        <c:spPr>
          <a:solidFill>
            <a:schemeClr val="accent1"/>
          </a:solidFill>
        </c:spPr>
        <c:marker>
          <c:symbol val="none"/>
        </c:marker>
        <c:dLbl>
          <c:idx val="0"/>
          <c:delete val="1"/>
          <c:extLst>
            <c:ext xmlns:c15="http://schemas.microsoft.com/office/drawing/2012/chart" uri="{CE6537A1-D6FC-4f65-9D91-7224C49458BB}"/>
          </c:extLst>
        </c:dLbl>
      </c:pivotFmt>
      <c:pivotFmt>
        <c:idx val="23"/>
        <c:spPr>
          <a:solidFill>
            <a:schemeClr val="accent2"/>
          </a:solidFill>
        </c:spPr>
        <c:marker>
          <c:symbol val="none"/>
        </c:marker>
        <c:dLbl>
          <c:idx val="0"/>
          <c:delete val="1"/>
          <c:extLst>
            <c:ext xmlns:c15="http://schemas.microsoft.com/office/drawing/2012/chart" uri="{CE6537A1-D6FC-4f65-9D91-7224C49458BB}"/>
          </c:extLst>
        </c:dLbl>
      </c:pivotFmt>
      <c:pivotFmt>
        <c:idx val="24"/>
        <c:spPr>
          <a:solidFill>
            <a:srgbClr val="C00000"/>
          </a:solidFill>
        </c:spPr>
        <c:marker>
          <c:symbol val="none"/>
        </c:marker>
        <c:dLbl>
          <c:idx val="0"/>
          <c:delete val="1"/>
          <c:extLst>
            <c:ext xmlns:c15="http://schemas.microsoft.com/office/drawing/2012/chart" uri="{CE6537A1-D6FC-4f65-9D91-7224C49458BB}"/>
          </c:extLst>
        </c:dLbl>
      </c:pivotFmt>
      <c:pivotFmt>
        <c:idx val="25"/>
        <c:spPr>
          <a:solidFill>
            <a:schemeClr val="bg2">
              <a:lumMod val="50000"/>
            </a:schemeClr>
          </a:solidFill>
        </c:spPr>
        <c:marker>
          <c:symbol val="none"/>
        </c:marker>
        <c:dLbl>
          <c:idx val="0"/>
          <c:delete val="1"/>
          <c:extLst>
            <c:ext xmlns:c15="http://schemas.microsoft.com/office/drawing/2012/chart" uri="{CE6537A1-D6FC-4f65-9D91-7224C49458BB}"/>
          </c:extLst>
        </c:dLbl>
      </c:pivotFmt>
      <c:pivotFmt>
        <c:idx val="26"/>
        <c:spPr>
          <a:solidFill>
            <a:schemeClr val="accent1"/>
          </a:solidFill>
        </c:spPr>
        <c:marker>
          <c:symbol val="none"/>
        </c:marker>
        <c:dLbl>
          <c:idx val="0"/>
          <c:delete val="1"/>
          <c:extLst>
            <c:ext xmlns:c15="http://schemas.microsoft.com/office/drawing/2012/chart" uri="{CE6537A1-D6FC-4f65-9D91-7224C49458BB}"/>
          </c:extLst>
        </c:dLbl>
      </c:pivotFmt>
      <c:pivotFmt>
        <c:idx val="27"/>
        <c:spPr>
          <a:solidFill>
            <a:schemeClr val="accent2"/>
          </a:solidFill>
        </c:spPr>
        <c:marker>
          <c:symbol val="none"/>
        </c:marker>
        <c:dLbl>
          <c:idx val="0"/>
          <c:delete val="1"/>
          <c:extLst>
            <c:ext xmlns:c15="http://schemas.microsoft.com/office/drawing/2012/chart" uri="{CE6537A1-D6FC-4f65-9D91-7224C49458BB}"/>
          </c:extLst>
        </c:dLbl>
      </c:pivotFmt>
      <c:pivotFmt>
        <c:idx val="28"/>
        <c:spPr>
          <a:solidFill>
            <a:srgbClr val="C00000"/>
          </a:solidFill>
        </c:spPr>
        <c:marker>
          <c:symbol val="none"/>
        </c:marker>
        <c:dLbl>
          <c:idx val="0"/>
          <c:delete val="1"/>
          <c:extLst>
            <c:ext xmlns:c15="http://schemas.microsoft.com/office/drawing/2012/chart" uri="{CE6537A1-D6FC-4f65-9D91-7224C49458BB}"/>
          </c:extLst>
        </c:dLbl>
      </c:pivotFmt>
      <c:pivotFmt>
        <c:idx val="29"/>
        <c:spPr>
          <a:solidFill>
            <a:schemeClr val="bg2">
              <a:lumMod val="50000"/>
            </a:schemeClr>
          </a:solidFill>
        </c:spPr>
        <c:marker>
          <c:symbol val="none"/>
        </c:marker>
        <c:dLbl>
          <c:idx val="0"/>
          <c:delete val="1"/>
          <c:extLst>
            <c:ext xmlns:c15="http://schemas.microsoft.com/office/drawing/2012/chart" uri="{CE6537A1-D6FC-4f65-9D91-7224C49458BB}"/>
          </c:extLst>
        </c:dLbl>
      </c:pivotFmt>
      <c:pivotFmt>
        <c:idx val="30"/>
        <c:spPr>
          <a:solidFill>
            <a:schemeClr val="accent1"/>
          </a:solidFill>
        </c:spPr>
        <c:marker>
          <c:symbol val="none"/>
        </c:marker>
        <c:dLbl>
          <c:idx val="0"/>
          <c:delete val="1"/>
          <c:extLst>
            <c:ext xmlns:c15="http://schemas.microsoft.com/office/drawing/2012/chart" uri="{CE6537A1-D6FC-4f65-9D91-7224C49458BB}"/>
          </c:extLst>
        </c:dLbl>
      </c:pivotFmt>
      <c:pivotFmt>
        <c:idx val="31"/>
        <c:spPr>
          <a:solidFill>
            <a:schemeClr val="accent2"/>
          </a:solidFill>
        </c:spPr>
        <c:marker>
          <c:symbol val="none"/>
        </c:marker>
        <c:dLbl>
          <c:idx val="0"/>
          <c:delete val="1"/>
          <c:extLst>
            <c:ext xmlns:c15="http://schemas.microsoft.com/office/drawing/2012/chart" uri="{CE6537A1-D6FC-4f65-9D91-7224C49458BB}"/>
          </c:extLst>
        </c:dLbl>
      </c:pivotFmt>
    </c:pivotFmts>
    <c:plotArea>
      <c:layout>
        <c:manualLayout>
          <c:layoutTarget val="inner"/>
          <c:xMode val="edge"/>
          <c:yMode val="edge"/>
          <c:x val="0.13115237853386538"/>
          <c:y val="0.23455855509910409"/>
          <c:w val="0.6828063195930576"/>
          <c:h val="0.62486110746636436"/>
        </c:manualLayout>
      </c:layout>
      <c:barChart>
        <c:barDir val="col"/>
        <c:grouping val="clustered"/>
        <c:varyColors val="0"/>
        <c:ser>
          <c:idx val="4"/>
          <c:order val="0"/>
          <c:tx>
            <c:strRef>
              <c:f>'Pivot Table'!$B$68:$B$70</c:f>
              <c:strCache>
                <c:ptCount val="1"/>
                <c:pt idx="0">
                  <c:v>Female - No</c:v>
                </c:pt>
              </c:strCache>
            </c:strRef>
          </c:tx>
          <c:spPr>
            <a:solidFill>
              <a:srgbClr val="C00000"/>
            </a:solidFill>
          </c:spPr>
          <c:invertIfNegative val="0"/>
          <c:cat>
            <c:strRef>
              <c:f>'Pivot Table'!$A$71:$A$76</c:f>
              <c:strCache>
                <c:ptCount val="5"/>
                <c:pt idx="0">
                  <c:v>A'</c:v>
                </c:pt>
                <c:pt idx="1">
                  <c:v>B'</c:v>
                </c:pt>
                <c:pt idx="2">
                  <c:v>C'</c:v>
                </c:pt>
                <c:pt idx="3">
                  <c:v>D'</c:v>
                </c:pt>
                <c:pt idx="4">
                  <c:v>F'</c:v>
                </c:pt>
              </c:strCache>
            </c:strRef>
          </c:cat>
          <c:val>
            <c:numRef>
              <c:f>'Pivot Table'!$B$71:$B$76</c:f>
              <c:numCache>
                <c:formatCode>General</c:formatCode>
                <c:ptCount val="5"/>
                <c:pt idx="0">
                  <c:v>33</c:v>
                </c:pt>
                <c:pt idx="1">
                  <c:v>74</c:v>
                </c:pt>
                <c:pt idx="2">
                  <c:v>118</c:v>
                </c:pt>
                <c:pt idx="3">
                  <c:v>128</c:v>
                </c:pt>
                <c:pt idx="4">
                  <c:v>365</c:v>
                </c:pt>
              </c:numCache>
            </c:numRef>
          </c:val>
          <c:extLst>
            <c:ext xmlns:c16="http://schemas.microsoft.com/office/drawing/2014/chart" uri="{C3380CC4-5D6E-409C-BE32-E72D297353CC}">
              <c16:uniqueId val="{00000000-F714-4E1C-AA88-B1150DCD71D7}"/>
            </c:ext>
          </c:extLst>
        </c:ser>
        <c:ser>
          <c:idx val="5"/>
          <c:order val="1"/>
          <c:tx>
            <c:strRef>
              <c:f>'Pivot Table'!$C$68:$C$70</c:f>
              <c:strCache>
                <c:ptCount val="1"/>
                <c:pt idx="0">
                  <c:v>Female - Yes</c:v>
                </c:pt>
              </c:strCache>
            </c:strRef>
          </c:tx>
          <c:spPr>
            <a:solidFill>
              <a:schemeClr val="bg2">
                <a:lumMod val="50000"/>
              </a:schemeClr>
            </a:solidFill>
          </c:spPr>
          <c:invertIfNegative val="0"/>
          <c:cat>
            <c:strRef>
              <c:f>'Pivot Table'!$A$71:$A$76</c:f>
              <c:strCache>
                <c:ptCount val="5"/>
                <c:pt idx="0">
                  <c:v>A'</c:v>
                </c:pt>
                <c:pt idx="1">
                  <c:v>B'</c:v>
                </c:pt>
                <c:pt idx="2">
                  <c:v>C'</c:v>
                </c:pt>
                <c:pt idx="3">
                  <c:v>D'</c:v>
                </c:pt>
                <c:pt idx="4">
                  <c:v>F'</c:v>
                </c:pt>
              </c:strCache>
            </c:strRef>
          </c:cat>
          <c:val>
            <c:numRef>
              <c:f>'Pivot Table'!$C$71:$C$76</c:f>
              <c:numCache>
                <c:formatCode>General</c:formatCode>
                <c:ptCount val="5"/>
                <c:pt idx="0">
                  <c:v>25</c:v>
                </c:pt>
                <c:pt idx="1">
                  <c:v>58</c:v>
                </c:pt>
                <c:pt idx="2">
                  <c:v>79</c:v>
                </c:pt>
                <c:pt idx="3">
                  <c:v>73</c:v>
                </c:pt>
                <c:pt idx="4">
                  <c:v>217</c:v>
                </c:pt>
              </c:numCache>
            </c:numRef>
          </c:val>
          <c:extLst>
            <c:ext xmlns:c16="http://schemas.microsoft.com/office/drawing/2014/chart" uri="{C3380CC4-5D6E-409C-BE32-E72D297353CC}">
              <c16:uniqueId val="{00000001-F714-4E1C-AA88-B1150DCD71D7}"/>
            </c:ext>
          </c:extLst>
        </c:ser>
        <c:ser>
          <c:idx val="0"/>
          <c:order val="2"/>
          <c:tx>
            <c:strRef>
              <c:f>'Pivot Table'!$E$68:$E$70</c:f>
              <c:strCache>
                <c:ptCount val="1"/>
                <c:pt idx="0">
                  <c:v>Male - No</c:v>
                </c:pt>
              </c:strCache>
            </c:strRef>
          </c:tx>
          <c:invertIfNegative val="0"/>
          <c:cat>
            <c:strRef>
              <c:f>'Pivot Table'!$A$71:$A$76</c:f>
              <c:strCache>
                <c:ptCount val="5"/>
                <c:pt idx="0">
                  <c:v>A'</c:v>
                </c:pt>
                <c:pt idx="1">
                  <c:v>B'</c:v>
                </c:pt>
                <c:pt idx="2">
                  <c:v>C'</c:v>
                </c:pt>
                <c:pt idx="3">
                  <c:v>D'</c:v>
                </c:pt>
                <c:pt idx="4">
                  <c:v>F'</c:v>
                </c:pt>
              </c:strCache>
            </c:strRef>
          </c:cat>
          <c:val>
            <c:numRef>
              <c:f>'Pivot Table'!$E$71:$E$76</c:f>
              <c:numCache>
                <c:formatCode>General</c:formatCode>
                <c:ptCount val="5"/>
                <c:pt idx="0">
                  <c:v>19</c:v>
                </c:pt>
                <c:pt idx="1">
                  <c:v>82</c:v>
                </c:pt>
                <c:pt idx="2">
                  <c:v>111</c:v>
                </c:pt>
                <c:pt idx="3">
                  <c:v>137</c:v>
                </c:pt>
                <c:pt idx="4">
                  <c:v>408</c:v>
                </c:pt>
              </c:numCache>
            </c:numRef>
          </c:val>
          <c:extLst>
            <c:ext xmlns:c16="http://schemas.microsoft.com/office/drawing/2014/chart" uri="{C3380CC4-5D6E-409C-BE32-E72D297353CC}">
              <c16:uniqueId val="{00000008-F714-4E1C-AA88-B1150DCD71D7}"/>
            </c:ext>
          </c:extLst>
        </c:ser>
        <c:ser>
          <c:idx val="1"/>
          <c:order val="3"/>
          <c:tx>
            <c:strRef>
              <c:f>'Pivot Table'!$F$68:$F$70</c:f>
              <c:strCache>
                <c:ptCount val="1"/>
                <c:pt idx="0">
                  <c:v>Male - Yes</c:v>
                </c:pt>
              </c:strCache>
            </c:strRef>
          </c:tx>
          <c:invertIfNegative val="0"/>
          <c:cat>
            <c:strRef>
              <c:f>'Pivot Table'!$A$71:$A$76</c:f>
              <c:strCache>
                <c:ptCount val="5"/>
                <c:pt idx="0">
                  <c:v>A'</c:v>
                </c:pt>
                <c:pt idx="1">
                  <c:v>B'</c:v>
                </c:pt>
                <c:pt idx="2">
                  <c:v>C'</c:v>
                </c:pt>
                <c:pt idx="3">
                  <c:v>D'</c:v>
                </c:pt>
                <c:pt idx="4">
                  <c:v>F'</c:v>
                </c:pt>
              </c:strCache>
            </c:strRef>
          </c:cat>
          <c:val>
            <c:numRef>
              <c:f>'Pivot Table'!$F$71:$F$76</c:f>
              <c:numCache>
                <c:formatCode>General</c:formatCode>
                <c:ptCount val="5"/>
                <c:pt idx="0">
                  <c:v>30</c:v>
                </c:pt>
                <c:pt idx="1">
                  <c:v>55</c:v>
                </c:pt>
                <c:pt idx="2">
                  <c:v>83</c:v>
                </c:pt>
                <c:pt idx="3">
                  <c:v>76</c:v>
                </c:pt>
                <c:pt idx="4">
                  <c:v>221</c:v>
                </c:pt>
              </c:numCache>
            </c:numRef>
          </c:val>
          <c:extLst>
            <c:ext xmlns:c16="http://schemas.microsoft.com/office/drawing/2014/chart" uri="{C3380CC4-5D6E-409C-BE32-E72D297353CC}">
              <c16:uniqueId val="{00000009-F714-4E1C-AA88-B1150DCD71D7}"/>
            </c:ext>
          </c:extLst>
        </c:ser>
        <c:dLbls>
          <c:showLegendKey val="0"/>
          <c:showVal val="0"/>
          <c:showCatName val="0"/>
          <c:showSerName val="0"/>
          <c:showPercent val="0"/>
          <c:showBubbleSize val="0"/>
        </c:dLbls>
        <c:gapWidth val="219"/>
        <c:overlap val="-27"/>
        <c:axId val="268005552"/>
        <c:axId val="268007472"/>
      </c:barChart>
      <c:catAx>
        <c:axId val="26800555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800"/>
                  <a:t>Grade Class</a:t>
                </a:r>
              </a:p>
            </c:rich>
          </c:tx>
          <c:overlay val="0"/>
          <c:spPr>
            <a:noFill/>
            <a:ln>
              <a:noFill/>
            </a:ln>
            <a:effectLst/>
          </c:sp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68007472"/>
        <c:crosses val="autoZero"/>
        <c:auto val="1"/>
        <c:lblAlgn val="ctr"/>
        <c:lblOffset val="100"/>
        <c:noMultiLvlLbl val="0"/>
      </c:catAx>
      <c:valAx>
        <c:axId val="26800747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800"/>
                  <a:t>Number</a:t>
                </a:r>
                <a:r>
                  <a:rPr lang="en-US" sz="800" baseline="0"/>
                  <a:t> of Students</a:t>
                </a:r>
                <a:endParaRPr lang="en-US" sz="800"/>
              </a:p>
            </c:rich>
          </c:tx>
          <c:layout>
            <c:manualLayout>
              <c:xMode val="edge"/>
              <c:yMode val="edge"/>
              <c:x val="1.6996385348379349E-2"/>
              <c:y val="0.39973611664282171"/>
            </c:manualLayout>
          </c:layout>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68005552"/>
        <c:crosses val="autoZero"/>
        <c:crossBetween val="between"/>
      </c:valAx>
    </c:plotArea>
    <c:legend>
      <c:legendPos val="r"/>
      <c:layout>
        <c:manualLayout>
          <c:xMode val="edge"/>
          <c:yMode val="edge"/>
          <c:x val="0.82715464948436046"/>
          <c:y val="0.43060156702334984"/>
          <c:w val="0.15415301578134891"/>
          <c:h val="0.41209079634276491"/>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chart>
  <c:txPr>
    <a:bodyPr/>
    <a:lstStyle/>
    <a:p>
      <a:pPr>
        <a:defRPr/>
      </a:pPr>
      <a:endParaRPr lang="en-US"/>
    </a:p>
  </c:txPr>
  <c:externalData r:id="rId1">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246</TotalTime>
  <Pages>7</Pages>
  <Words>1230</Words>
  <Characters>7015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Favour Bamgboye</dc:creator>
  <cp:keywords/>
  <dc:description/>
  <cp:lastModifiedBy>Victor Adebiyi</cp:lastModifiedBy>
  <cp:revision>28</cp:revision>
  <dcterms:created xsi:type="dcterms:W3CDTF">2025-10-20T11:12:00Z</dcterms:created>
  <dcterms:modified xsi:type="dcterms:W3CDTF">2026-06-17T00:33:00Z</dcterms:modified>
</cp:coreProperties>
</file>