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1.2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Complementos da versão 0.4.0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21–23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1.2 • 18 de outubro de 2026. Referência funcional: versão 0.4.0, com gestão de contratos e atendimento. Consulte também os capítulos complementares ao final.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registra autorização e abre o RustDesk instalado. O agente SERVITEC não controla a tela; o RustDesk exige instalação e configuração próprias.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pode consultar a empresa e, com liberação individual, abrir solicitações e responder.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ACESSO AUTORIZADO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permite abrir solicitações e responder somente quando a permissão individual estiver liberada. Não permite alterar status, registrar horas nem acessar inventário, custos ou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Contratos e atendimento completo</w:t>
      </w:r>
    </w:p>
    <w:p>
      <w:r>
        <w:t>O menu Empresas e contratos centraliza contatos, unidades, responsável técnico e referências de documentação da empresa cliente. Selecione uma empresa cadastrada em Equipamentos para consultar seus chamados e equipamentos.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 a permissão Gerenciar contratos, SLA e preventivas, preencha mensalidade, horas inclusas e custo interno da hora.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Ative o SLA e defina primeira resposta e solução, em minutos, para cada prioridade. Escolha calendário 24x7 ou segunda a sexta, com fuso e horário. Feriados especiais não são descontados.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Nos chamados, use Histórico, conversa e horas. Escolha Nota interna ou Mensagem para o cliente; só a segunda aparece no portal.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Anexe arquivos de até 512 KB, com limite total de 20 MB por chamado. Selecione explicitamente se o arquivo pode ser visto pelo cliente.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Registre a data, o tempo em minutos, descrição e despesas do trabalho. O custo da hora é preservado em cada lançamento.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PRAZOS E HISTÓRICO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SLA vale para novos chamados e preserva as metas vigentes na criação. Alterar o contrato não recalcula o passado. Iniciar atendimento ou enviar resposta pública registra a primeira resposta. A reabertura mantém os prazos originais. Não há reconstrução de eventos anteriores à atualização.</w:t>
            </w:r>
          </w:p>
        </w:tc>
      </w:tr>
    </w:tbl>
    <w:p>
      <w:pPr>
        <w:spacing w:after="0"/>
      </w:pPr>
    </w:p>
    <w:p>
      <w:r>
        <w:t>O menu Rentabilidade compara a mensalidade contratada atual com custos e despesas registrados no mês escolhido. É uma estimativa operacional; não representa faturamento efetivo, impostos ou um histórico contábil de mensalidades.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Portal, e-mails e rotina de operação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Acessos de clientes, edite a pessoa e marque Permitir abrir chamados e responder mensagens quando autorizado. Acessos existentes permanecem de consulta até a liberação.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portal, o cliente usa Abrir solicitação e acompanha apenas os chamados e as conversas públicas da empresa vinculada. Não atua como operador.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Configurações → E-mail, ative separadamente o envio SMTP para confirmações e mensagens públicas. O padrão é desativado; exige senha de app e permissão do Google Workspace para smtp.gmail.com:465.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Consulte a fila SMTP nessa configuração. Em falha ambígua, confira Enviados antes de reenviar manualmente; o sistema não repete automaticamente uma entrega incerta.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Preventivas, cadastre atividade, empresa, intervalo em dias e próxima data. Cada ocorrência abre um chamado, com proteção contra duplicação. Pausar e retomar fica disponível no plano.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CONVERSAS POR E-MAIL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Respostas com In-Reply-To ou References podem entrar no chamado existente quando o remetente está aprovado para a mesma empresa. O número do protocolo no assunto, sozinho, não vincula mensagens. Os anexos MIME permanecem na caixa original.</w:t>
            </w:r>
          </w:p>
        </w:tc>
      </w:tr>
    </w:tbl>
    <w:p>
      <w:pPr>
        <w:spacing w:after="0"/>
      </w:pPr>
    </w:p>
    <w:p>
      <w:r>
        <w:t>Alertas persistentes incluem ausência de comunicação por mais de 5 minutos e CPU, RAM ou disco acima de 90% por pelo menos 2 minutos observados. O menu também reúne SLAs vencidos. Os alertas não criam chamados automaticamente. A verificação ocorre enquanto o servidor está ligado.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Segurança, acesso remoto e recuperação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Segurança da conta, informe a senha e prepare o autenticador. Adicione a chave no Google Authenticator ou Microsoft Authenticator e confirme o código. Guarde os oito códigos de recuperação fora do sistema; cada um funciona uma vez.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login seguinte, informe senha e código. Um código TOTP já usado não pode ser reutilizado; espere o próximo para uma operação sensível. Clientes encontram essa configuração em Minha senha.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O Cofre exige permissão específica. Cadastre credenciais por empresa; revelar exige senha e segundo fator quando habilitado, registra auditoria e oculta o segredo após 60 segundos.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Para Acesso remoto, instale e configure RustDesk nas máquinas. No sistema, selecione equipamento e informe ID, motivo e autorização. O botão abre o aplicativo instalado; o registro não confirma conexão nem grava tela.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Configurações → Backups, consulte o número da cópia e use Verificar arquivos e banco. O sistema compara hashes e testa a integridade do SQLite, sem iniciar a instalação restaurada.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APÓS RESTAURAR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Instale dependências com npm ci. E-mails e automações de alertas/preventivas ficam pausados na cópia; envios pendentes são cancelados e sessões removidas. Revise tudo antes de reativar. A chave data/security.key precisa acompanhar o banco para recuperar TOTP e o cofre.</w:t>
            </w:r>
          </w:p>
        </w:tc>
      </w:tr>
    </w:tbl>
    <w:p>
      <w:pPr>
        <w:spacing w:after="0"/>
      </w:pPr>
    </w:p>
    <w:p>
      <w:r>
        <w:t>O guia docs/melhorias-v0.4.0.md detalha atualização no Windows Server, permissões, limites e ensaio isolado de recuperação. Gmail real, RustDesk, firewall e HTTPS exigem configuração na sua infraestrutura.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1.2; versão 0.4.0 com contratos, SLA e segurança.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