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1797991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w:t>
      </w:r>
      <w:r w:rsidR="00FC3AEF">
        <w:rPr>
          <w:color w:val="000000"/>
          <w:sz w:val="18"/>
          <w:szCs w:val="18"/>
        </w:rPr>
        <w:t>1</w:t>
      </w:r>
      <w:r>
        <w:rPr>
          <w:color w:val="000000"/>
          <w:sz w:val="18"/>
          <w:szCs w:val="18"/>
        </w:rPr>
        <w:t xml:space="preserve"> (US GPA equivalent of 3.9</w:t>
      </w:r>
      <w:r w:rsidR="00FC3AEF">
        <w:rPr>
          <w:color w:val="000000"/>
          <w:sz w:val="18"/>
          <w:szCs w:val="18"/>
        </w:rPr>
        <w:t>5</w:t>
      </w:r>
      <w:r>
        <w:rPr>
          <w:color w:val="000000"/>
          <w:sz w:val="18"/>
          <w:szCs w:val="18"/>
        </w:rPr>
        <w:t xml:space="preserve">).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741D5E2D" w:rsidR="00746BEE" w:rsidRDefault="004E7AF1">
      <w:pPr>
        <w:rPr>
          <w:b/>
          <w:color w:val="000000"/>
          <w:sz w:val="24"/>
          <w:szCs w:val="24"/>
        </w:rPr>
      </w:pPr>
      <w:r>
        <w:rPr>
          <w:b/>
          <w:sz w:val="24"/>
          <w:szCs w:val="24"/>
        </w:rPr>
        <w:t xml:space="preserve">Maersk </w:t>
      </w:r>
      <w:r w:rsidR="00022ABA">
        <w:rPr>
          <w:b/>
          <w:sz w:val="24"/>
          <w:szCs w:val="24"/>
        </w:rPr>
        <w:t>Logistics</w:t>
      </w:r>
      <w:r>
        <w:rPr>
          <w:b/>
          <w:sz w:val="24"/>
          <w:szCs w:val="24"/>
        </w:rPr>
        <w:t xml:space="preserve"> (formerly LF Logistics)</w:t>
      </w:r>
      <w:r w:rsidR="00022ABA">
        <w:rPr>
          <w:b/>
          <w:sz w:val="24"/>
          <w:szCs w:val="24"/>
        </w:rPr>
        <w:t xml:space="preserve"> </w:t>
      </w:r>
      <w:r w:rsidR="00022ABA">
        <w:rPr>
          <w:b/>
          <w:color w:val="000000"/>
          <w:sz w:val="24"/>
          <w:szCs w:val="24"/>
        </w:rPr>
        <w:t>(</w:t>
      </w:r>
      <w:r w:rsidR="0055127B">
        <w:rPr>
          <w:b/>
          <w:color w:val="000000"/>
          <w:sz w:val="24"/>
          <w:szCs w:val="24"/>
        </w:rPr>
        <w:t>Global</w:t>
      </w:r>
      <w:r w:rsidR="00022ABA">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0B7B8BE3" w14:textId="77777777" w:rsidR="00DA7CC3"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r w:rsidR="00DA7CC3">
        <w:rPr>
          <w:color w:val="000000"/>
          <w:sz w:val="18"/>
          <w:szCs w:val="18"/>
        </w:rPr>
        <w:t xml:space="preserve"> </w:t>
      </w:r>
    </w:p>
    <w:p w14:paraId="16C96D26" w14:textId="68535353" w:rsidR="00746BEE" w:rsidRDefault="00DA7CC3">
      <w:pPr>
        <w:numPr>
          <w:ilvl w:val="0"/>
          <w:numId w:val="6"/>
        </w:numPr>
        <w:pBdr>
          <w:top w:val="nil"/>
          <w:left w:val="nil"/>
          <w:bottom w:val="nil"/>
          <w:right w:val="nil"/>
          <w:between w:val="nil"/>
        </w:pBdr>
        <w:rPr>
          <w:color w:val="000000"/>
          <w:sz w:val="18"/>
          <w:szCs w:val="18"/>
        </w:rPr>
      </w:pPr>
      <w:r>
        <w:rPr>
          <w:color w:val="000000"/>
          <w:sz w:val="18"/>
          <w:szCs w:val="18"/>
        </w:rPr>
        <w:t xml:space="preserve">Developed and deployed software applications for intelligent vehicle routing optimization and supply chain network design. </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w:t>
      </w:r>
      <w:proofErr w:type="spellStart"/>
      <w:r>
        <w:rPr>
          <w:color w:val="000000"/>
          <w:sz w:val="18"/>
          <w:szCs w:val="18"/>
        </w:rPr>
        <w:t>MLOps</w:t>
      </w:r>
      <w:proofErr w:type="spellEnd"/>
      <w:r>
        <w:rPr>
          <w:color w:val="000000"/>
          <w:sz w:val="18"/>
          <w:szCs w:val="18"/>
        </w:rPr>
        <w:t xml:space="preserve">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 xml:space="preserve">Built and deployed real-time interactive dashboards for use across LF Logistics 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 xml:space="preserve">Integrated Python forecasting models to Tableau Server using </w:t>
      </w:r>
      <w:proofErr w:type="spellStart"/>
      <w:r>
        <w:rPr>
          <w:sz w:val="18"/>
          <w:szCs w:val="18"/>
        </w:rPr>
        <w:t>TabPy</w:t>
      </w:r>
      <w:proofErr w:type="spellEnd"/>
      <w:r>
        <w:rPr>
          <w:sz w:val="18"/>
          <w:szCs w:val="18"/>
        </w:rPr>
        <w:t>.</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4872DF6F" w:rsidR="00746BEE" w:rsidRDefault="00022ABA">
      <w:pPr>
        <w:rPr>
          <w:b/>
          <w:color w:val="000000"/>
          <w:sz w:val="28"/>
          <w:szCs w:val="28"/>
        </w:rPr>
      </w:pPr>
      <w:r>
        <w:rPr>
          <w:b/>
          <w:color w:val="000000"/>
          <w:sz w:val="28"/>
          <w:szCs w:val="28"/>
        </w:rPr>
        <w:t>Data Science &amp; Analytics Lead</w:t>
      </w:r>
      <w:r w:rsidR="008116F0">
        <w:rPr>
          <w:b/>
          <w:color w:val="000000"/>
          <w:sz w:val="28"/>
          <w:szCs w:val="28"/>
        </w:rPr>
        <w:t xml:space="preserve"> – Hong Kong &amp; Greater China</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3692B4A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w:t>
      </w:r>
      <w:r w:rsidR="00FD385D">
        <w:rPr>
          <w:color w:val="000000"/>
          <w:sz w:val="18"/>
          <w:szCs w:val="18"/>
        </w:rPr>
        <w:t xml:space="preserve"> science, data analytics, data engineering, and data strategy</w:t>
      </w:r>
      <w:r>
        <w:rPr>
          <w:color w:val="000000"/>
          <w:sz w:val="18"/>
          <w:szCs w:val="18"/>
        </w:rPr>
        <w:t xml:space="preserve"> team</w:t>
      </w:r>
      <w:r w:rsidR="00FD385D">
        <w:rPr>
          <w:color w:val="000000"/>
          <w:sz w:val="18"/>
          <w:szCs w:val="18"/>
        </w:rPr>
        <w:t>s</w:t>
      </w:r>
      <w:r>
        <w:rPr>
          <w:color w:val="000000"/>
          <w:sz w:val="18"/>
          <w:szCs w:val="18"/>
        </w:rPr>
        <w:t xml:space="preserve"> to partner with clients, collect requirements, define strategy, and deliver robust analytics solutions.</w:t>
      </w:r>
    </w:p>
    <w:p w14:paraId="7B4C85C6" w14:textId="3ED00760"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w:t>
      </w:r>
      <w:r w:rsidR="00FD385D">
        <w:rPr>
          <w:color w:val="000000"/>
          <w:sz w:val="18"/>
          <w:szCs w:val="18"/>
        </w:rPr>
        <w:t xml:space="preserve"> Groupe and its agencies</w:t>
      </w:r>
      <w:r>
        <w:rPr>
          <w:color w:val="000000"/>
          <w:sz w:val="18"/>
          <w:szCs w:val="18"/>
        </w:rPr>
        <w:t xml:space="preserve"> for Hong Kong and Macau.</w:t>
      </w:r>
    </w:p>
    <w:p w14:paraId="4DB7B9C7" w14:textId="088099F8" w:rsidR="00453B70" w:rsidRPr="00453B70" w:rsidRDefault="00453B70" w:rsidP="00453B70">
      <w:pPr>
        <w:pStyle w:val="ListParagraph"/>
        <w:numPr>
          <w:ilvl w:val="0"/>
          <w:numId w:val="6"/>
        </w:numPr>
        <w:rPr>
          <w:color w:val="000000"/>
          <w:sz w:val="18"/>
          <w:szCs w:val="18"/>
        </w:rPr>
      </w:pPr>
      <w:r>
        <w:rPr>
          <w:color w:val="000000"/>
          <w:sz w:val="18"/>
          <w:szCs w:val="18"/>
        </w:rPr>
        <w:t xml:space="preserve">Improved </w:t>
      </w:r>
      <w:r w:rsidRPr="00453B70">
        <w:rPr>
          <w:color w:val="000000"/>
          <w:sz w:val="18"/>
          <w:szCs w:val="18"/>
        </w:rPr>
        <w:t>user interactions in a chat bot app for a multinational insurance company using insights from natural language processing, resulting in an active user count increase of 73%.</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A5A51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w:t>
      </w:r>
      <w:r w:rsidR="00AC06D6">
        <w:rPr>
          <w:color w:val="000000"/>
          <w:sz w:val="18"/>
          <w:szCs w:val="18"/>
        </w:rPr>
        <w:t>and</w:t>
      </w:r>
      <w:r>
        <w:rPr>
          <w:color w:val="000000"/>
          <w:sz w:val="18"/>
          <w:szCs w:val="18"/>
        </w:rPr>
        <w:t xml:space="preserve"> in the cloud using technologies such as Hadoop</w:t>
      </w:r>
      <w:r w:rsidR="00FD385D">
        <w:rPr>
          <w:color w:val="000000"/>
          <w:sz w:val="18"/>
          <w:szCs w:val="18"/>
        </w:rPr>
        <w:t xml:space="preserve"> and Salesforce</w:t>
      </w:r>
      <w:r>
        <w:rPr>
          <w:color w:val="000000"/>
          <w:sz w:val="18"/>
          <w:szCs w:val="18"/>
        </w:rPr>
        <w:t>.</w:t>
      </w:r>
    </w:p>
    <w:p w14:paraId="6D935D8C" w14:textId="4388644E"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r w:rsidR="00FD385D">
        <w:rPr>
          <w:color w:val="000000"/>
          <w:sz w:val="18"/>
          <w:szCs w:val="18"/>
        </w:rPr>
        <w:t xml:space="preserve"> such as Tableau and D3.js web apps</w:t>
      </w:r>
      <w:r>
        <w:rPr>
          <w:color w:val="000000"/>
          <w:sz w:val="18"/>
          <w:szCs w:val="18"/>
        </w:rPr>
        <w:t>.</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6D32BD3C"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E928BBA" w14:textId="5194E670" w:rsidR="00453B70" w:rsidRDefault="00453B70">
      <w:pPr>
        <w:numPr>
          <w:ilvl w:val="0"/>
          <w:numId w:val="6"/>
        </w:numPr>
        <w:pBdr>
          <w:top w:val="nil"/>
          <w:left w:val="nil"/>
          <w:bottom w:val="nil"/>
          <w:right w:val="nil"/>
          <w:between w:val="nil"/>
        </w:pBdr>
        <w:rPr>
          <w:color w:val="000000"/>
          <w:sz w:val="18"/>
          <w:szCs w:val="18"/>
        </w:rPr>
      </w:pPr>
      <w:r>
        <w:rPr>
          <w:color w:val="000000"/>
          <w:sz w:val="18"/>
          <w:szCs w:val="18"/>
        </w:rPr>
        <w:t>Worked with clients and third-party vendors to implement marketing technology solutions such as customer data platforms (CDP), data management platforms (DMP), and marketing automation software.</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258B58C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6DD9893B" w14:textId="34533885" w:rsidR="00453B70" w:rsidRPr="00453B70" w:rsidRDefault="00453B70" w:rsidP="00453B70">
      <w:pPr>
        <w:numPr>
          <w:ilvl w:val="0"/>
          <w:numId w:val="7"/>
        </w:numPr>
        <w:pBdr>
          <w:top w:val="nil"/>
          <w:left w:val="nil"/>
          <w:bottom w:val="nil"/>
          <w:right w:val="nil"/>
          <w:between w:val="nil"/>
        </w:pBdr>
        <w:jc w:val="both"/>
        <w:rPr>
          <w:color w:val="000000"/>
          <w:sz w:val="18"/>
          <w:szCs w:val="18"/>
        </w:rPr>
      </w:pPr>
      <w:r>
        <w:rPr>
          <w:color w:val="000000"/>
          <w:sz w:val="18"/>
          <w:szCs w:val="18"/>
        </w:rPr>
        <w:t>Generated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5FE3CC75" w:rsidR="00746BEE" w:rsidRDefault="00022ABA">
      <w:pPr>
        <w:pBdr>
          <w:top w:val="nil"/>
          <w:left w:val="nil"/>
          <w:bottom w:val="nil"/>
          <w:right w:val="nil"/>
          <w:between w:val="nil"/>
        </w:pBdr>
        <w:rPr>
          <w:b/>
          <w:color w:val="000000"/>
          <w:sz w:val="24"/>
          <w:szCs w:val="24"/>
        </w:rPr>
      </w:pPr>
      <w:r>
        <w:rPr>
          <w:b/>
          <w:color w:val="000000"/>
          <w:sz w:val="24"/>
          <w:szCs w:val="24"/>
        </w:rPr>
        <w:t>Mitchell Madison Group</w:t>
      </w:r>
      <w:r w:rsidR="008116F0">
        <w:rPr>
          <w:b/>
          <w:color w:val="000000"/>
          <w:sz w:val="24"/>
          <w:szCs w:val="24"/>
        </w:rPr>
        <w:t xml:space="preserve"> Management Consulting</w:t>
      </w:r>
      <w:r>
        <w:rPr>
          <w:b/>
          <w:color w:val="000000"/>
          <w:sz w:val="24"/>
          <w:szCs w:val="24"/>
        </w:rPr>
        <w:t xml:space="preserve">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6FC0324" w14:textId="0EF22EB0" w:rsidR="009E2DFD" w:rsidRPr="009E2DFD" w:rsidRDefault="009E2DFD" w:rsidP="009E2DFD">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0AD995A7" w14:textId="1BEA4F9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6C259017" w:rsidR="00746BEE" w:rsidRDefault="00022ABA">
            <w:pPr>
              <w:widowControl w:val="0"/>
              <w:rPr>
                <w:color w:val="000000"/>
                <w:sz w:val="18"/>
                <w:szCs w:val="18"/>
              </w:rPr>
            </w:pPr>
            <w:r>
              <w:rPr>
                <w:color w:val="000000"/>
                <w:sz w:val="18"/>
                <w:szCs w:val="18"/>
              </w:rPr>
              <w:t>28) HTML5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BF5D433" w:rsidR="00746BEE" w:rsidRDefault="00022ABA">
            <w:pPr>
              <w:widowControl w:val="0"/>
              <w:rPr>
                <w:color w:val="000000"/>
                <w:sz w:val="18"/>
                <w:szCs w:val="18"/>
              </w:rPr>
            </w:pPr>
            <w:r>
              <w:rPr>
                <w:color w:val="000000"/>
                <w:sz w:val="18"/>
                <w:szCs w:val="18"/>
              </w:rPr>
              <w:t>7) Statistics</w:t>
            </w:r>
          </w:p>
        </w:tc>
        <w:tc>
          <w:tcPr>
            <w:tcW w:w="3015" w:type="dxa"/>
            <w:shd w:val="clear" w:color="auto" w:fill="auto"/>
            <w:tcMar>
              <w:top w:w="100" w:type="dxa"/>
              <w:left w:w="100" w:type="dxa"/>
              <w:bottom w:w="100" w:type="dxa"/>
              <w:right w:w="100" w:type="dxa"/>
            </w:tcMar>
          </w:tcPr>
          <w:p w14:paraId="540FBAC0" w14:textId="72095C44" w:rsidR="00746BEE" w:rsidRDefault="00022ABA">
            <w:pPr>
              <w:widowControl w:val="0"/>
              <w:rPr>
                <w:color w:val="000000"/>
                <w:sz w:val="18"/>
                <w:szCs w:val="18"/>
              </w:rPr>
            </w:pPr>
            <w:r>
              <w:rPr>
                <w:color w:val="000000"/>
                <w:sz w:val="18"/>
                <w:szCs w:val="18"/>
              </w:rPr>
              <w:t>20) Neo4J</w:t>
            </w:r>
            <w:r w:rsidR="009E2DFD">
              <w:rPr>
                <w:color w:val="000000"/>
                <w:sz w:val="18"/>
                <w:szCs w:val="18"/>
              </w:rPr>
              <w:t xml:space="preserve"> (Graph Analytics)</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3FF53F38" w14:textId="1AB9170E" w:rsidR="00746BEE" w:rsidRPr="00A13992" w:rsidRDefault="00267CA5" w:rsidP="00A13992">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sectPr w:rsidR="00746BEE" w:rsidRPr="00A1399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714695997">
    <w:abstractNumId w:val="0"/>
  </w:num>
  <w:num w:numId="2" w16cid:durableId="1013802406">
    <w:abstractNumId w:val="6"/>
  </w:num>
  <w:num w:numId="3" w16cid:durableId="2028557270">
    <w:abstractNumId w:val="3"/>
  </w:num>
  <w:num w:numId="4" w16cid:durableId="125048366">
    <w:abstractNumId w:val="5"/>
  </w:num>
  <w:num w:numId="5" w16cid:durableId="938174098">
    <w:abstractNumId w:val="1"/>
  </w:num>
  <w:num w:numId="6" w16cid:durableId="1399128797">
    <w:abstractNumId w:val="4"/>
  </w:num>
  <w:num w:numId="7" w16cid:durableId="1919318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45009"/>
    <w:rsid w:val="00364277"/>
    <w:rsid w:val="00371B4F"/>
    <w:rsid w:val="003C1C97"/>
    <w:rsid w:val="00453B70"/>
    <w:rsid w:val="00472E1F"/>
    <w:rsid w:val="004E7AF1"/>
    <w:rsid w:val="00532C2D"/>
    <w:rsid w:val="0055127B"/>
    <w:rsid w:val="00587722"/>
    <w:rsid w:val="005A47F8"/>
    <w:rsid w:val="00746BEE"/>
    <w:rsid w:val="00756371"/>
    <w:rsid w:val="008116F0"/>
    <w:rsid w:val="00903D13"/>
    <w:rsid w:val="009649CD"/>
    <w:rsid w:val="00980CBC"/>
    <w:rsid w:val="009E2DFD"/>
    <w:rsid w:val="00A13992"/>
    <w:rsid w:val="00A963B7"/>
    <w:rsid w:val="00AC06D6"/>
    <w:rsid w:val="00B1046E"/>
    <w:rsid w:val="00B16C05"/>
    <w:rsid w:val="00CA0AA8"/>
    <w:rsid w:val="00CA4331"/>
    <w:rsid w:val="00CA5DD5"/>
    <w:rsid w:val="00DA7CC3"/>
    <w:rsid w:val="00DD0D2D"/>
    <w:rsid w:val="00E41009"/>
    <w:rsid w:val="00EF5E72"/>
    <w:rsid w:val="00FC3AEF"/>
    <w:rsid w:val="00FD38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6</cp:revision>
  <cp:lastPrinted>2021-09-03T09:53:00Z</cp:lastPrinted>
  <dcterms:created xsi:type="dcterms:W3CDTF">2022-12-02T07:45:00Z</dcterms:created>
  <dcterms:modified xsi:type="dcterms:W3CDTF">2022-12-02T07:58:00Z</dcterms:modified>
</cp:coreProperties>
</file>