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B77D7F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</w:t>
      </w:r>
      <w:proofErr w:type="spellStart"/>
      <w:r w:rsidRPr="004D18F1">
        <w:rPr>
          <w:rFonts w:ascii="Arial" w:eastAsia="Times New Roman" w:hAnsi="Arial" w:cs="Arial"/>
          <w:color w:val="000000"/>
          <w:sz w:val="18"/>
          <w:szCs w:val="18"/>
        </w:rPr>
        <w:t>MLOps</w:t>
      </w:r>
      <w:proofErr w:type="spellEnd"/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3042BE8" w:rsidR="004D18F1" w:rsidRDefault="00B77D7F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Led the development of </w:t>
      </w:r>
      <w:r w:rsidR="004D18F1"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="004D18F1"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709E92D7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B testing</w:t>
      </w:r>
      <w:r w:rsidR="00527787">
        <w:rPr>
          <w:rFonts w:ascii="Arial" w:eastAsia="Times New Roman" w:hAnsi="Arial" w:cs="Arial"/>
          <w:color w:val="000000"/>
          <w:sz w:val="18"/>
          <w:szCs w:val="18"/>
        </w:rPr>
        <w:t xml:space="preserve"> in collaboration with </w:t>
      </w:r>
      <w:r w:rsidR="00527787" w:rsidRPr="00527787">
        <w:rPr>
          <w:rFonts w:ascii="Arial" w:eastAsia="Times New Roman" w:hAnsi="Arial" w:cs="Arial"/>
          <w:color w:val="000000"/>
          <w:sz w:val="18"/>
          <w:szCs w:val="18"/>
        </w:rPr>
        <w:t>digital marketers, web developers, and UX designers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4F540E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>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23EA2"/>
    <w:rsid w:val="001C549E"/>
    <w:rsid w:val="00214D19"/>
    <w:rsid w:val="00300F47"/>
    <w:rsid w:val="003309A3"/>
    <w:rsid w:val="0036130A"/>
    <w:rsid w:val="004D18F1"/>
    <w:rsid w:val="004F540E"/>
    <w:rsid w:val="00521294"/>
    <w:rsid w:val="00527787"/>
    <w:rsid w:val="006244E1"/>
    <w:rsid w:val="006508DD"/>
    <w:rsid w:val="006B57C4"/>
    <w:rsid w:val="007820A8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77D7F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3</cp:revision>
  <cp:lastPrinted>2021-11-27T09:31:00Z</cp:lastPrinted>
  <dcterms:created xsi:type="dcterms:W3CDTF">2021-11-30T12:55:00Z</dcterms:created>
  <dcterms:modified xsi:type="dcterms:W3CDTF">2021-11-30T12:57:00Z</dcterms:modified>
</cp:coreProperties>
</file>