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6F7B" w14:textId="77777777" w:rsidR="00273F0F" w:rsidRDefault="00273F0F">
      <w:pPr>
        <w:spacing w:before="1500"/>
      </w:pPr>
    </w:p>
    <w:p w14:paraId="6698B632" w14:textId="77777777" w:rsidR="00273F0F" w:rsidRDefault="00000000">
      <w:pPr>
        <w:spacing w:after="100"/>
        <w:jc w:val="center"/>
      </w:pPr>
      <w:r>
        <w:rPr>
          <w:rFonts w:ascii="Arial" w:eastAsia="Arial" w:hAnsi="Arial" w:cs="Arial"/>
          <w:b/>
          <w:bCs/>
          <w:color w:val="307177"/>
          <w:sz w:val="72"/>
          <w:szCs w:val="72"/>
        </w:rPr>
        <w:t>VANDARUM</w:t>
      </w:r>
    </w:p>
    <w:p w14:paraId="0B928751" w14:textId="77777777" w:rsidR="00273F0F" w:rsidRDefault="00000000">
      <w:pPr>
        <w:spacing w:after="400"/>
        <w:jc w:val="center"/>
      </w:pPr>
      <w:r>
        <w:rPr>
          <w:color w:val="666666"/>
          <w:sz w:val="24"/>
          <w:szCs w:val="24"/>
        </w:rPr>
        <w:t>━━━━━━━━━━━━━━━━━━━━</w:t>
      </w:r>
    </w:p>
    <w:p w14:paraId="0F5DD82A" w14:textId="77777777" w:rsidR="00273F0F" w:rsidRDefault="00000000">
      <w:pPr>
        <w:spacing w:after="200"/>
        <w:jc w:val="center"/>
      </w:pPr>
      <w:r>
        <w:rPr>
          <w:rFonts w:ascii="Arial" w:eastAsia="Arial" w:hAnsi="Arial" w:cs="Arial"/>
          <w:b/>
          <w:bCs/>
          <w:color w:val="333333"/>
          <w:sz w:val="48"/>
          <w:szCs w:val="48"/>
        </w:rPr>
        <w:t>FICHA DE TECNOLOGÍA</w:t>
      </w:r>
    </w:p>
    <w:p w14:paraId="1E3A7D68" w14:textId="77777777" w:rsidR="00273F0F" w:rsidRDefault="00000000">
      <w:pPr>
        <w:spacing w:after="600"/>
        <w:jc w:val="center"/>
      </w:pPr>
      <w:r>
        <w:rPr>
          <w:rFonts w:ascii="Arial" w:eastAsia="Arial" w:hAnsi="Arial" w:cs="Arial"/>
          <w:i/>
          <w:iCs/>
          <w:color w:val="666666"/>
          <w:sz w:val="36"/>
          <w:szCs w:val="36"/>
        </w:rPr>
        <w:t>2H Process</w:t>
      </w:r>
    </w:p>
    <w:p w14:paraId="44E9B075" w14:textId="77777777" w:rsidR="00273F0F" w:rsidRDefault="00000000">
      <w:pPr>
        <w:spacing w:after="200"/>
        <w:jc w:val="center"/>
      </w:pPr>
      <w:r>
        <w:rPr>
          <w:rFonts w:ascii="Arial" w:eastAsia="Arial" w:hAnsi="Arial" w:cs="Arial"/>
          <w:color w:val="666666"/>
          <w:sz w:val="22"/>
          <w:szCs w:val="22"/>
        </w:rPr>
        <w:t>9 de enero de 2026</w:t>
      </w:r>
    </w:p>
    <w:p w14:paraId="542362C0" w14:textId="77777777" w:rsidR="00273F0F" w:rsidRDefault="00273F0F">
      <w:pPr>
        <w:spacing w:before="1500"/>
      </w:pPr>
    </w:p>
    <w:p w14:paraId="6C904F51" w14:textId="77777777" w:rsidR="00273F0F" w:rsidRDefault="00000000">
      <w:pPr>
        <w:jc w:val="center"/>
      </w:pPr>
      <w:r>
        <w:rPr>
          <w:rFonts w:ascii="Arial" w:eastAsia="Arial" w:hAnsi="Arial" w:cs="Arial"/>
          <w:i/>
          <w:iCs/>
          <w:color w:val="307177"/>
          <w:sz w:val="18"/>
          <w:szCs w:val="18"/>
        </w:rPr>
        <w:t>Innovación aplicada, red global de resultados sostenibles</w:t>
      </w:r>
    </w:p>
    <w:p w14:paraId="773FC205" w14:textId="77777777" w:rsidR="00273F0F" w:rsidRDefault="00000000">
      <w:r>
        <w:br w:type="page"/>
      </w:r>
    </w:p>
    <w:p w14:paraId="640333B9" w14:textId="77777777" w:rsidR="00273F0F" w:rsidRDefault="00000000">
      <w:pPr>
        <w:pStyle w:val="Heading2"/>
        <w:spacing w:before="300" w:after="150"/>
      </w:pPr>
      <w:r>
        <w:rPr>
          <w:rFonts w:ascii="Arial" w:eastAsia="Arial" w:hAnsi="Arial" w:cs="Arial"/>
          <w:b/>
          <w:bCs/>
          <w:color w:val="333333"/>
          <w:sz w:val="28"/>
          <w:szCs w:val="28"/>
        </w:rPr>
        <w:lastRenderedPageBreak/>
        <w:t>2H Process</w:t>
      </w:r>
    </w:p>
    <w:p w14:paraId="69E42E6D" w14:textId="77777777" w:rsidR="00273F0F" w:rsidRDefault="00000000">
      <w:pPr>
        <w:spacing w:after="300"/>
      </w:pPr>
      <w:r>
        <w:rPr>
          <w:rFonts w:ascii="Arial" w:eastAsia="Arial" w:hAnsi="Arial" w:cs="Arial"/>
          <w:i/>
          <w:iCs/>
          <w:color w:val="666666"/>
          <w:sz w:val="22"/>
          <w:szCs w:val="22"/>
        </w:rPr>
        <w:t>Proveedor: Brentwood Industries, Inc. (que adquirió ENEXIO Water Technologies, el propietario original de la marca 2H)  |  País: EE.UU. (Brentwood Industries). La tecnología 2H es originaria de Alemania.  |  TRL 9</w:t>
      </w:r>
    </w:p>
    <w:p w14:paraId="71D5ECDA" w14:textId="77777777" w:rsidR="00273F0F" w:rsidRDefault="00000000">
      <w:pPr>
        <w:pStyle w:val="Heading1"/>
        <w:pBdr>
          <w:bottom w:val="single" w:sz="6" w:space="1" w:color="307177"/>
        </w:pBdr>
        <w:spacing w:before="400" w:after="200"/>
      </w:pPr>
      <w:r>
        <w:rPr>
          <w:rFonts w:ascii="Arial" w:eastAsia="Arial" w:hAnsi="Arial" w:cs="Arial"/>
          <w:b/>
          <w:bCs/>
          <w:color w:val="307177"/>
        </w:rPr>
        <w:t>INFORMACIÓN GENERAL</w:t>
      </w:r>
    </w:p>
    <w:tbl>
      <w:tblPr>
        <w:tblW w:w="5000" w:type="pct"/>
        <w:tblBorders>
          <w:top w:val="single" w:sz="4" w:space="0" w:color="E5E7EB"/>
          <w:left w:val="single" w:sz="4" w:space="0" w:color="E5E7EB"/>
          <w:bottom w:val="single" w:sz="4" w:space="0" w:color="E5E7EB"/>
          <w:right w:val="single" w:sz="4" w:space="0" w:color="E5E7EB"/>
          <w:insideH w:val="single" w:sz="2" w:space="0" w:color="E5E7EB"/>
          <w:insideV w:val="single" w:sz="2" w:space="0" w:color="E5E7EB"/>
        </w:tblBorders>
        <w:tblLayout w:type="fixed"/>
        <w:tblCellMar>
          <w:left w:w="10" w:type="dxa"/>
          <w:right w:w="10" w:type="dxa"/>
        </w:tblCellMar>
        <w:tblLook w:val="0000" w:firstRow="0" w:lastRow="0" w:firstColumn="0" w:lastColumn="0" w:noHBand="0" w:noVBand="0"/>
      </w:tblPr>
      <w:tblGrid>
        <w:gridCol w:w="3156"/>
        <w:gridCol w:w="5860"/>
      </w:tblGrid>
      <w:tr w:rsidR="00273F0F" w14:paraId="4C701ABB"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36EC5E8F" w14:textId="77777777" w:rsidR="00273F0F" w:rsidRDefault="00000000">
            <w:pPr>
              <w:spacing w:line="260" w:lineRule="auto"/>
            </w:pPr>
            <w:r>
              <w:rPr>
                <w:rFonts w:ascii="Arial" w:eastAsia="Arial" w:hAnsi="Arial" w:cs="Arial"/>
                <w:b/>
                <w:bCs/>
                <w:color w:val="333333"/>
                <w:sz w:val="22"/>
                <w:szCs w:val="22"/>
              </w:rPr>
              <w:t>Proveedor / Empresa</w:t>
            </w:r>
          </w:p>
        </w:tc>
        <w:tc>
          <w:tcPr>
            <w:tcW w:w="3250" w:type="pct"/>
            <w:tcMar>
              <w:top w:w="100" w:type="dxa"/>
              <w:left w:w="150" w:type="dxa"/>
              <w:bottom w:w="100" w:type="dxa"/>
              <w:right w:w="150" w:type="dxa"/>
            </w:tcMar>
            <w:vAlign w:val="center"/>
          </w:tcPr>
          <w:p w14:paraId="24F45510" w14:textId="77777777" w:rsidR="00273F0F" w:rsidRDefault="00000000">
            <w:pPr>
              <w:spacing w:line="260" w:lineRule="auto"/>
            </w:pPr>
            <w:r>
              <w:rPr>
                <w:rFonts w:ascii="Arial" w:eastAsia="Arial" w:hAnsi="Arial" w:cs="Arial"/>
                <w:color w:val="333333"/>
                <w:sz w:val="22"/>
                <w:szCs w:val="22"/>
              </w:rPr>
              <w:t>Brentwood Industries, Inc. (que adquirió ENEXIO Water Technologies, el propietario original de la marca 2H)</w:t>
            </w:r>
          </w:p>
        </w:tc>
      </w:tr>
      <w:tr w:rsidR="00273F0F" w14:paraId="26F896D8"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03BE6290" w14:textId="77777777" w:rsidR="00273F0F" w:rsidRDefault="00000000">
            <w:pPr>
              <w:spacing w:line="260" w:lineRule="auto"/>
            </w:pPr>
            <w:r>
              <w:rPr>
                <w:rFonts w:ascii="Arial" w:eastAsia="Arial" w:hAnsi="Arial" w:cs="Arial"/>
                <w:b/>
                <w:bCs/>
                <w:color w:val="333333"/>
                <w:sz w:val="22"/>
                <w:szCs w:val="22"/>
              </w:rPr>
              <w:t>País de origen</w:t>
            </w:r>
          </w:p>
        </w:tc>
        <w:tc>
          <w:tcPr>
            <w:tcW w:w="3250" w:type="pct"/>
            <w:tcMar>
              <w:top w:w="100" w:type="dxa"/>
              <w:left w:w="150" w:type="dxa"/>
              <w:bottom w:w="100" w:type="dxa"/>
              <w:right w:w="150" w:type="dxa"/>
            </w:tcMar>
            <w:vAlign w:val="center"/>
          </w:tcPr>
          <w:p w14:paraId="39D7CDA2" w14:textId="77777777" w:rsidR="00273F0F" w:rsidRDefault="00000000">
            <w:pPr>
              <w:spacing w:line="260" w:lineRule="auto"/>
            </w:pPr>
            <w:r>
              <w:rPr>
                <w:rFonts w:ascii="Arial" w:eastAsia="Arial" w:hAnsi="Arial" w:cs="Arial"/>
                <w:color w:val="333333"/>
                <w:sz w:val="22"/>
                <w:szCs w:val="22"/>
              </w:rPr>
              <w:t>EE.UU. (Brentwood Industries). La tecnología 2H es originaria de Alemania.</w:t>
            </w:r>
          </w:p>
        </w:tc>
      </w:tr>
      <w:tr w:rsidR="00273F0F" w14:paraId="4CA99C5A"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29BFB1E4" w14:textId="77777777" w:rsidR="00273F0F" w:rsidRDefault="00000000">
            <w:pPr>
              <w:spacing w:line="260" w:lineRule="auto"/>
            </w:pPr>
            <w:r>
              <w:rPr>
                <w:rFonts w:ascii="Arial" w:eastAsia="Arial" w:hAnsi="Arial" w:cs="Arial"/>
                <w:b/>
                <w:bCs/>
                <w:color w:val="333333"/>
                <w:sz w:val="22"/>
                <w:szCs w:val="22"/>
              </w:rPr>
              <w:t>Países donde actúa</w:t>
            </w:r>
          </w:p>
        </w:tc>
        <w:tc>
          <w:tcPr>
            <w:tcW w:w="3250" w:type="pct"/>
            <w:tcMar>
              <w:top w:w="100" w:type="dxa"/>
              <w:left w:w="150" w:type="dxa"/>
              <w:bottom w:w="100" w:type="dxa"/>
              <w:right w:w="150" w:type="dxa"/>
            </w:tcMar>
            <w:vAlign w:val="center"/>
          </w:tcPr>
          <w:p w14:paraId="3A182E01" w14:textId="77777777" w:rsidR="00273F0F" w:rsidRDefault="00000000">
            <w:pPr>
              <w:spacing w:line="260" w:lineRule="auto"/>
            </w:pPr>
            <w:r>
              <w:rPr>
                <w:rFonts w:ascii="Arial" w:eastAsia="Arial" w:hAnsi="Arial" w:cs="Arial"/>
                <w:color w:val="333333"/>
                <w:sz w:val="22"/>
                <w:szCs w:val="22"/>
              </w:rPr>
              <w:t>Globalmente. Brentwood Industries tiene una fuerte presencia en América del Norte (EE.UU., Canadá, México), Europa (Alemania, Reino Unido</w:t>
            </w:r>
          </w:p>
        </w:tc>
      </w:tr>
      <w:tr w:rsidR="00273F0F" w14:paraId="16DA54AA"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21E0072F" w14:textId="77777777" w:rsidR="00273F0F" w:rsidRDefault="00000000">
            <w:pPr>
              <w:spacing w:line="260" w:lineRule="auto"/>
            </w:pPr>
            <w:r>
              <w:rPr>
                <w:rFonts w:ascii="Arial" w:eastAsia="Arial" w:hAnsi="Arial" w:cs="Arial"/>
                <w:b/>
                <w:bCs/>
                <w:color w:val="333333"/>
                <w:sz w:val="22"/>
                <w:szCs w:val="22"/>
              </w:rPr>
              <w:t>Web de la empresa</w:t>
            </w:r>
          </w:p>
        </w:tc>
        <w:tc>
          <w:tcPr>
            <w:tcW w:w="3250" w:type="pct"/>
            <w:tcMar>
              <w:top w:w="100" w:type="dxa"/>
              <w:left w:w="150" w:type="dxa"/>
              <w:bottom w:w="100" w:type="dxa"/>
              <w:right w:w="150" w:type="dxa"/>
            </w:tcMar>
            <w:vAlign w:val="center"/>
          </w:tcPr>
          <w:p w14:paraId="2A804B6D" w14:textId="77777777" w:rsidR="00273F0F" w:rsidRDefault="00000000">
            <w:pPr>
              <w:spacing w:line="260" w:lineRule="auto"/>
            </w:pPr>
            <w:r>
              <w:rPr>
                <w:rFonts w:ascii="Arial" w:eastAsia="Arial" w:hAnsi="Arial" w:cs="Arial"/>
                <w:color w:val="333333"/>
                <w:sz w:val="22"/>
                <w:szCs w:val="22"/>
              </w:rPr>
              <w:t>https://www.brentwoodindustries.com/water-wastewater/</w:t>
            </w:r>
          </w:p>
        </w:tc>
      </w:tr>
      <w:tr w:rsidR="00273F0F" w14:paraId="467D1E09"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50EEBCD9" w14:textId="77777777" w:rsidR="00273F0F" w:rsidRDefault="00000000">
            <w:pPr>
              <w:spacing w:line="260" w:lineRule="auto"/>
            </w:pPr>
            <w:r>
              <w:rPr>
                <w:rFonts w:ascii="Arial" w:eastAsia="Arial" w:hAnsi="Arial" w:cs="Arial"/>
                <w:b/>
                <w:bCs/>
                <w:color w:val="333333"/>
                <w:sz w:val="22"/>
                <w:szCs w:val="22"/>
              </w:rPr>
              <w:t>Email de contacto</w:t>
            </w:r>
          </w:p>
        </w:tc>
        <w:tc>
          <w:tcPr>
            <w:tcW w:w="3250" w:type="pct"/>
            <w:tcMar>
              <w:top w:w="100" w:type="dxa"/>
              <w:left w:w="150" w:type="dxa"/>
              <w:bottom w:w="100" w:type="dxa"/>
              <w:right w:w="150" w:type="dxa"/>
            </w:tcMar>
            <w:vAlign w:val="center"/>
          </w:tcPr>
          <w:p w14:paraId="71CFA86C" w14:textId="77777777" w:rsidR="00273F0F" w:rsidRDefault="00000000">
            <w:pPr>
              <w:spacing w:line="260" w:lineRule="auto"/>
            </w:pPr>
            <w:r>
              <w:rPr>
                <w:rFonts w:ascii="Arial" w:eastAsia="Arial" w:hAnsi="Arial" w:cs="Arial"/>
                <w:color w:val="333333"/>
                <w:sz w:val="22"/>
                <w:szCs w:val="22"/>
              </w:rPr>
              <w:t>cs-water@brentwoodindustries.com</w:t>
            </w:r>
          </w:p>
        </w:tc>
      </w:tr>
      <w:tr w:rsidR="00273F0F" w14:paraId="1D309C0D"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48F62133" w14:textId="77777777" w:rsidR="00273F0F" w:rsidRDefault="00000000">
            <w:pPr>
              <w:spacing w:line="260" w:lineRule="auto"/>
            </w:pPr>
            <w:r>
              <w:rPr>
                <w:rFonts w:ascii="Arial" w:eastAsia="Arial" w:hAnsi="Arial" w:cs="Arial"/>
                <w:b/>
                <w:bCs/>
                <w:color w:val="333333"/>
                <w:sz w:val="22"/>
                <w:szCs w:val="22"/>
              </w:rPr>
              <w:t>Grado de madurez (TRL)</w:t>
            </w:r>
          </w:p>
        </w:tc>
        <w:tc>
          <w:tcPr>
            <w:tcW w:w="3250" w:type="pct"/>
            <w:tcMar>
              <w:top w:w="100" w:type="dxa"/>
              <w:left w:w="150" w:type="dxa"/>
              <w:bottom w:w="100" w:type="dxa"/>
              <w:right w:w="150" w:type="dxa"/>
            </w:tcMar>
            <w:vAlign w:val="center"/>
          </w:tcPr>
          <w:p w14:paraId="25648AE1" w14:textId="77777777" w:rsidR="00273F0F" w:rsidRDefault="00000000">
            <w:pPr>
              <w:spacing w:line="260" w:lineRule="auto"/>
            </w:pPr>
            <w:r>
              <w:rPr>
                <w:rFonts w:ascii="Arial" w:eastAsia="Arial" w:hAnsi="Arial" w:cs="Arial"/>
                <w:color w:val="333333"/>
                <w:sz w:val="22"/>
                <w:szCs w:val="22"/>
              </w:rPr>
              <w:t>TRL 9</w:t>
            </w:r>
          </w:p>
        </w:tc>
      </w:tr>
      <w:tr w:rsidR="00273F0F" w14:paraId="5BCDFDE5"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6CDF6F0B" w14:textId="77777777" w:rsidR="00273F0F" w:rsidRDefault="00000000">
            <w:pPr>
              <w:spacing w:line="260" w:lineRule="auto"/>
            </w:pPr>
            <w:r>
              <w:rPr>
                <w:rFonts w:ascii="Arial" w:eastAsia="Arial" w:hAnsi="Arial" w:cs="Arial"/>
                <w:b/>
                <w:bCs/>
                <w:color w:val="333333"/>
                <w:sz w:val="22"/>
                <w:szCs w:val="22"/>
              </w:rPr>
              <w:t>Estado</w:t>
            </w:r>
          </w:p>
        </w:tc>
        <w:tc>
          <w:tcPr>
            <w:tcW w:w="3250" w:type="pct"/>
            <w:tcMar>
              <w:top w:w="100" w:type="dxa"/>
              <w:left w:w="150" w:type="dxa"/>
              <w:bottom w:w="100" w:type="dxa"/>
              <w:right w:w="150" w:type="dxa"/>
            </w:tcMar>
            <w:vAlign w:val="center"/>
          </w:tcPr>
          <w:p w14:paraId="52B3EE68" w14:textId="77777777" w:rsidR="00273F0F" w:rsidRDefault="00000000">
            <w:pPr>
              <w:spacing w:line="260" w:lineRule="auto"/>
            </w:pPr>
            <w:r>
              <w:rPr>
                <w:rFonts w:ascii="Arial" w:eastAsia="Arial" w:hAnsi="Arial" w:cs="Arial"/>
                <w:color w:val="333333"/>
                <w:sz w:val="22"/>
                <w:szCs w:val="22"/>
              </w:rPr>
              <w:t>Activa</w:t>
            </w:r>
          </w:p>
        </w:tc>
      </w:tr>
      <w:tr w:rsidR="00273F0F" w14:paraId="5F397166"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08922C89" w14:textId="77777777" w:rsidR="00273F0F" w:rsidRDefault="00000000">
            <w:pPr>
              <w:spacing w:line="260" w:lineRule="auto"/>
            </w:pPr>
            <w:r>
              <w:rPr>
                <w:rFonts w:ascii="Arial" w:eastAsia="Arial" w:hAnsi="Arial" w:cs="Arial"/>
                <w:b/>
                <w:bCs/>
                <w:color w:val="333333"/>
                <w:sz w:val="22"/>
                <w:szCs w:val="22"/>
              </w:rPr>
              <w:t>Estado del seguimiento</w:t>
            </w:r>
          </w:p>
        </w:tc>
        <w:tc>
          <w:tcPr>
            <w:tcW w:w="3250" w:type="pct"/>
            <w:tcMar>
              <w:top w:w="100" w:type="dxa"/>
              <w:left w:w="150" w:type="dxa"/>
              <w:bottom w:w="100" w:type="dxa"/>
              <w:right w:w="150" w:type="dxa"/>
            </w:tcMar>
            <w:vAlign w:val="center"/>
          </w:tcPr>
          <w:p w14:paraId="6AC33E49" w14:textId="77777777" w:rsidR="00273F0F" w:rsidRDefault="00000000">
            <w:pPr>
              <w:spacing w:line="260" w:lineRule="auto"/>
            </w:pPr>
            <w:r>
              <w:rPr>
                <w:rFonts w:ascii="Arial" w:eastAsia="Arial" w:hAnsi="Arial" w:cs="Arial"/>
                <w:color w:val="333333"/>
                <w:sz w:val="22"/>
                <w:szCs w:val="22"/>
              </w:rPr>
              <w:t>Revisión realizada con Gemini AI</w:t>
            </w:r>
          </w:p>
        </w:tc>
      </w:tr>
    </w:tbl>
    <w:p w14:paraId="39C05210" w14:textId="77777777" w:rsidR="00273F0F" w:rsidRDefault="00273F0F">
      <w:pPr>
        <w:spacing w:after="200"/>
      </w:pPr>
    </w:p>
    <w:p w14:paraId="2218FAE5" w14:textId="77777777" w:rsidR="00273F0F" w:rsidRDefault="00000000">
      <w:pPr>
        <w:pStyle w:val="Heading1"/>
        <w:pBdr>
          <w:bottom w:val="single" w:sz="6" w:space="1" w:color="307177"/>
        </w:pBdr>
        <w:spacing w:before="400" w:after="200"/>
      </w:pPr>
      <w:r>
        <w:rPr>
          <w:rFonts w:ascii="Arial" w:eastAsia="Arial" w:hAnsi="Arial" w:cs="Arial"/>
          <w:b/>
          <w:bCs/>
          <w:color w:val="307177"/>
        </w:rPr>
        <w:t>CLASIFICACIÓN</w:t>
      </w:r>
    </w:p>
    <w:tbl>
      <w:tblPr>
        <w:tblW w:w="5000" w:type="pct"/>
        <w:tblBorders>
          <w:top w:val="single" w:sz="4" w:space="0" w:color="E5E7EB"/>
          <w:left w:val="single" w:sz="4" w:space="0" w:color="E5E7EB"/>
          <w:bottom w:val="single" w:sz="4" w:space="0" w:color="E5E7EB"/>
          <w:right w:val="single" w:sz="4" w:space="0" w:color="E5E7EB"/>
          <w:insideH w:val="single" w:sz="2" w:space="0" w:color="E5E7EB"/>
          <w:insideV w:val="single" w:sz="2" w:space="0" w:color="E5E7EB"/>
        </w:tblBorders>
        <w:tblLayout w:type="fixed"/>
        <w:tblCellMar>
          <w:left w:w="10" w:type="dxa"/>
          <w:right w:w="10" w:type="dxa"/>
        </w:tblCellMar>
        <w:tblLook w:val="0000" w:firstRow="0" w:lastRow="0" w:firstColumn="0" w:lastColumn="0" w:noHBand="0" w:noVBand="0"/>
      </w:tblPr>
      <w:tblGrid>
        <w:gridCol w:w="3156"/>
        <w:gridCol w:w="5860"/>
      </w:tblGrid>
      <w:tr w:rsidR="00273F0F" w14:paraId="4F202BEB"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335DD6D1" w14:textId="77777777" w:rsidR="00273F0F" w:rsidRDefault="00000000">
            <w:pPr>
              <w:spacing w:line="260" w:lineRule="auto"/>
            </w:pPr>
            <w:r>
              <w:rPr>
                <w:rFonts w:ascii="Arial" w:eastAsia="Arial" w:hAnsi="Arial" w:cs="Arial"/>
                <w:b/>
                <w:bCs/>
                <w:color w:val="333333"/>
                <w:sz w:val="22"/>
                <w:szCs w:val="22"/>
              </w:rPr>
              <w:t>Tipo de tecnología</w:t>
            </w:r>
          </w:p>
        </w:tc>
        <w:tc>
          <w:tcPr>
            <w:tcW w:w="3250" w:type="pct"/>
            <w:tcMar>
              <w:top w:w="100" w:type="dxa"/>
              <w:left w:w="150" w:type="dxa"/>
              <w:bottom w:w="100" w:type="dxa"/>
              <w:right w:w="150" w:type="dxa"/>
            </w:tcMar>
            <w:vAlign w:val="center"/>
          </w:tcPr>
          <w:p w14:paraId="3206EF89" w14:textId="77777777" w:rsidR="00273F0F" w:rsidRDefault="00000000">
            <w:pPr>
              <w:spacing w:line="260" w:lineRule="auto"/>
            </w:pPr>
            <w:r>
              <w:rPr>
                <w:rFonts w:ascii="Arial" w:eastAsia="Arial" w:hAnsi="Arial" w:cs="Arial"/>
                <w:color w:val="333333"/>
                <w:sz w:val="22"/>
                <w:szCs w:val="22"/>
              </w:rPr>
              <w:t>TAR - Tratamiento de Aguas Residuales</w:t>
            </w:r>
          </w:p>
        </w:tc>
      </w:tr>
      <w:tr w:rsidR="00273F0F" w14:paraId="38E7CB20"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2041A559" w14:textId="77777777" w:rsidR="00273F0F" w:rsidRDefault="00000000">
            <w:pPr>
              <w:spacing w:line="260" w:lineRule="auto"/>
            </w:pPr>
            <w:r>
              <w:rPr>
                <w:rFonts w:ascii="Arial" w:eastAsia="Arial" w:hAnsi="Arial" w:cs="Arial"/>
                <w:b/>
                <w:bCs/>
                <w:color w:val="333333"/>
                <w:sz w:val="22"/>
                <w:szCs w:val="22"/>
              </w:rPr>
              <w:t>Subcategoría</w:t>
            </w:r>
          </w:p>
        </w:tc>
        <w:tc>
          <w:tcPr>
            <w:tcW w:w="3250" w:type="pct"/>
            <w:tcMar>
              <w:top w:w="100" w:type="dxa"/>
              <w:left w:w="150" w:type="dxa"/>
              <w:bottom w:w="100" w:type="dxa"/>
              <w:right w:w="150" w:type="dxa"/>
            </w:tcMar>
            <w:vAlign w:val="center"/>
          </w:tcPr>
          <w:p w14:paraId="11710C0B" w14:textId="77777777" w:rsidR="00273F0F" w:rsidRDefault="00000000">
            <w:pPr>
              <w:spacing w:line="260" w:lineRule="auto"/>
            </w:pPr>
            <w:r>
              <w:rPr>
                <w:rFonts w:ascii="Arial" w:eastAsia="Arial" w:hAnsi="Arial" w:cs="Arial"/>
                <w:color w:val="333333"/>
                <w:sz w:val="22"/>
                <w:szCs w:val="22"/>
              </w:rPr>
              <w:t>TAR-07 - Reactor de Biopelícula (IFAS)</w:t>
            </w:r>
          </w:p>
        </w:tc>
      </w:tr>
      <w:tr w:rsidR="00273F0F" w14:paraId="705BD98F"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2F686F41" w14:textId="77777777" w:rsidR="00273F0F" w:rsidRDefault="00000000">
            <w:pPr>
              <w:spacing w:line="260" w:lineRule="auto"/>
            </w:pPr>
            <w:r>
              <w:rPr>
                <w:rFonts w:ascii="Arial" w:eastAsia="Arial" w:hAnsi="Arial" w:cs="Arial"/>
                <w:b/>
                <w:bCs/>
                <w:color w:val="333333"/>
                <w:sz w:val="22"/>
                <w:szCs w:val="22"/>
              </w:rPr>
              <w:t>Sector</w:t>
            </w:r>
          </w:p>
        </w:tc>
        <w:tc>
          <w:tcPr>
            <w:tcW w:w="3250" w:type="pct"/>
            <w:tcMar>
              <w:top w:w="100" w:type="dxa"/>
              <w:left w:w="150" w:type="dxa"/>
              <w:bottom w:w="100" w:type="dxa"/>
              <w:right w:w="150" w:type="dxa"/>
            </w:tcMar>
            <w:vAlign w:val="center"/>
          </w:tcPr>
          <w:p w14:paraId="5480E847" w14:textId="77777777" w:rsidR="00273F0F" w:rsidRDefault="00000000">
            <w:pPr>
              <w:spacing w:line="260" w:lineRule="auto"/>
            </w:pPr>
            <w:r>
              <w:rPr>
                <w:rFonts w:ascii="Arial" w:eastAsia="Arial" w:hAnsi="Arial" w:cs="Arial"/>
                <w:color w:val="333333"/>
                <w:sz w:val="22"/>
                <w:szCs w:val="22"/>
              </w:rPr>
              <w:t>AMB - Ambos</w:t>
            </w:r>
          </w:p>
        </w:tc>
      </w:tr>
      <w:tr w:rsidR="00273F0F" w14:paraId="242FFDB4"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0EB64720" w14:textId="77777777" w:rsidR="00273F0F" w:rsidRDefault="00000000">
            <w:pPr>
              <w:spacing w:line="260" w:lineRule="auto"/>
            </w:pPr>
            <w:r>
              <w:rPr>
                <w:rFonts w:ascii="Arial" w:eastAsia="Arial" w:hAnsi="Arial" w:cs="Arial"/>
                <w:b/>
                <w:bCs/>
                <w:color w:val="333333"/>
                <w:sz w:val="22"/>
                <w:szCs w:val="22"/>
              </w:rPr>
              <w:t>Aplicación principal</w:t>
            </w:r>
          </w:p>
        </w:tc>
        <w:tc>
          <w:tcPr>
            <w:tcW w:w="3250" w:type="pct"/>
            <w:tcMar>
              <w:top w:w="100" w:type="dxa"/>
              <w:left w:w="150" w:type="dxa"/>
              <w:bottom w:w="100" w:type="dxa"/>
              <w:right w:w="150" w:type="dxa"/>
            </w:tcMar>
            <w:vAlign w:val="center"/>
          </w:tcPr>
          <w:p w14:paraId="01D359FD" w14:textId="77777777" w:rsidR="00273F0F" w:rsidRDefault="00000000">
            <w:pPr>
              <w:spacing w:line="260" w:lineRule="auto"/>
            </w:pPr>
            <w:r>
              <w:rPr>
                <w:rFonts w:ascii="Arial" w:eastAsia="Arial" w:hAnsi="Arial" w:cs="Arial"/>
                <w:color w:val="333333"/>
                <w:sz w:val="22"/>
                <w:szCs w:val="22"/>
              </w:rPr>
              <w:t xml:space="preserve">La aplicación principal del 2H Process se enfoca en el tratamiento biológico de aguas residuales, cubriendo tanto efluentes municipales como industriales. Esta tecnología es especialmente apta para la eliminación eficiente de la carga orgánica (DBO) y, por su versatilidad en el soporte de biopelículas, puede extenderse a procesos de nitrificación para la eliminación de nutrientes. Es una solución óptima para la construcción de nuevas plantas de tratamiento (EDAR) y, de manera destacada, para la modernización y ampliación (retrofitting) de instalaciones ya operativas. En este último escenario, el 2H Process permite aumentar de forma significativa la capacidad de tratamiento y el rendimiento general de la planta sin </w:t>
            </w:r>
            <w:r>
              <w:rPr>
                <w:rFonts w:ascii="Arial" w:eastAsia="Arial" w:hAnsi="Arial" w:cs="Arial"/>
                <w:color w:val="333333"/>
                <w:sz w:val="22"/>
                <w:szCs w:val="22"/>
              </w:rPr>
              <w:lastRenderedPageBreak/>
              <w:t>necesidad de ampliar el volumen del reactor existente, optimizando el uso del espacio y mejorando la eficiencia operativa.</w:t>
            </w:r>
          </w:p>
        </w:tc>
      </w:tr>
    </w:tbl>
    <w:p w14:paraId="60249E1C" w14:textId="77777777" w:rsidR="00273F0F" w:rsidRDefault="00273F0F">
      <w:pPr>
        <w:spacing w:after="200"/>
      </w:pPr>
    </w:p>
    <w:p w14:paraId="77D28018" w14:textId="77777777" w:rsidR="00273F0F" w:rsidRDefault="00000000">
      <w:pPr>
        <w:pStyle w:val="Heading1"/>
        <w:pBdr>
          <w:bottom w:val="single" w:sz="6" w:space="1" w:color="307177"/>
        </w:pBdr>
        <w:spacing w:before="400" w:after="200"/>
      </w:pPr>
      <w:r>
        <w:rPr>
          <w:rFonts w:ascii="Arial" w:eastAsia="Arial" w:hAnsi="Arial" w:cs="Arial"/>
          <w:b/>
          <w:bCs/>
          <w:color w:val="307177"/>
        </w:rPr>
        <w:t>DESCRIPCIÓN TÉCNICA</w:t>
      </w:r>
    </w:p>
    <w:p w14:paraId="61891672" w14:textId="77777777" w:rsidR="00273F0F" w:rsidRDefault="00000000">
      <w:pPr>
        <w:spacing w:after="180" w:line="280" w:lineRule="auto"/>
      </w:pPr>
      <w:r>
        <w:rPr>
          <w:rFonts w:ascii="Arial" w:eastAsia="Arial" w:hAnsi="Arial" w:cs="Arial"/>
          <w:color w:val="333333"/>
          <w:sz w:val="22"/>
          <w:szCs w:val="22"/>
        </w:rPr>
        <w:t>El '2H Process' se refiere a la aplicación de rellenos plásticos estructurados de alto rendimiento, como los módulos BIOdek® y TUBEdek®, en sistemas de tratamiento biológico de aguas residuales. Fabricados en PVC o polipropileno, estos medios están diseñados para maximizar la superficie específica, típicamente entre 100 y 240 m²/m³, y un volumen de huecos superior al 95%, proporcionando un soporte óptimo para el crecimiento de biopelículas (biofilm). Se utilizan principalmente en lechos percoladores (trickling filters) y otros reactores de biopelícula, ofreciendo una alta eficiencia de transferencia de masa y una resistencia superior a la colmatación. Esta tecnología es ideal para la eliminación de carga orgánica en EDAR municipales e industriales, permitiendo tanto la construcción de nuevas plantas con menor huella como la modernización de instalaciones existentes para aumentar significativamente su capacidad de tratamiento con una operación más estable y de bajo mantenimiento.</w:t>
      </w:r>
    </w:p>
    <w:p w14:paraId="632F0BAC" w14:textId="77777777" w:rsidR="00273F0F" w:rsidRDefault="00000000">
      <w:pPr>
        <w:pStyle w:val="Heading1"/>
        <w:pBdr>
          <w:bottom w:val="single" w:sz="6" w:space="1" w:color="307177"/>
        </w:pBdr>
        <w:spacing w:before="400" w:after="200"/>
      </w:pPr>
      <w:r>
        <w:rPr>
          <w:rFonts w:ascii="Arial" w:eastAsia="Arial" w:hAnsi="Arial" w:cs="Arial"/>
          <w:b/>
          <w:bCs/>
          <w:color w:val="307177"/>
        </w:rPr>
        <w:t>INNOVACIÓN Y VENTAJAS</w:t>
      </w:r>
    </w:p>
    <w:p w14:paraId="1EDFB3C8" w14:textId="77777777" w:rsidR="00273F0F" w:rsidRDefault="00000000">
      <w:pPr>
        <w:spacing w:after="80"/>
      </w:pPr>
      <w:r>
        <w:rPr>
          <w:rFonts w:ascii="Arial" w:eastAsia="Arial" w:hAnsi="Arial" w:cs="Arial"/>
          <w:b/>
          <w:bCs/>
          <w:color w:val="333333"/>
          <w:sz w:val="22"/>
          <w:szCs w:val="22"/>
        </w:rPr>
        <w:t xml:space="preserve">Ventaja competitiva: </w:t>
      </w:r>
      <w:r>
        <w:rPr>
          <w:rFonts w:ascii="Arial" w:eastAsia="Arial" w:hAnsi="Arial" w:cs="Arial"/>
          <w:color w:val="333333"/>
          <w:sz w:val="22"/>
          <w:szCs w:val="22"/>
        </w:rPr>
        <w:t>La principal ventaja competitiva del 2H Process reside en su excepcional eficiencia de transferencia de masa y una robusta resistencia a la colmatación. Esto se logra gracias a su innovador diseño de rellenos plásticos estructurados de alto rendimiento, como los módulos BIOdek® y TUBEdek®, que optimizan la superficie para el crecimiento de biopelículas y garantizan un altísimo volumen de huecos, superior al 95%. Estas características permiten no solo una reducción significativa de la huella de implantación de las plantas, sino también un menor consumo energético en comparación con los procesos de lodos activados convencionales, especialmente en aplicaciones de lechos percoladores. Además, el sistema asegura una operación más estable y de bajo mantenimiento, minimizando los costes operativos y prolongando la vida útil de las instalaciones. Esta combinación de eficiencia, resistencia y bajo coste operativo hace del 2H Process una solución ideal para aumentar la capacidad de tratamiento en el mismo volumen de reactor, tanto en la construcción de nuevas plantas como en la modernización de infraestructuras existentes para el tratamiento biológico de aguas residuales municipales e industriales.</w:t>
      </w:r>
    </w:p>
    <w:p w14:paraId="0700C186" w14:textId="77777777" w:rsidR="00273F0F" w:rsidRDefault="00000000">
      <w:pPr>
        <w:spacing w:after="80"/>
      </w:pPr>
      <w:r>
        <w:rPr>
          <w:rFonts w:ascii="Arial" w:eastAsia="Arial" w:hAnsi="Arial" w:cs="Arial"/>
          <w:b/>
          <w:bCs/>
          <w:color w:val="333333"/>
          <w:sz w:val="22"/>
          <w:szCs w:val="22"/>
        </w:rPr>
        <w:t xml:space="preserve">Por qué es innovadora: </w:t>
      </w:r>
      <w:r>
        <w:rPr>
          <w:rFonts w:ascii="Arial" w:eastAsia="Arial" w:hAnsi="Arial" w:cs="Arial"/>
          <w:color w:val="333333"/>
          <w:sz w:val="22"/>
          <w:szCs w:val="22"/>
        </w:rPr>
        <w:t xml:space="preserve">La innovación reside en la optimización geométrica e hidrodinámica del relleno. A diferencia de los rellenos aleatorios (anillos, esferas) o tradicionales (piedra), el diseño de láminas estructuradas crea canales definidos que aseguran una distribución uniforme del agua y el aire, maximizan la superficie activa para la biopelícula y previenen la acumulación de sólidos. Esto transformó los lechos percoladores y otros sistemas de tratamiento biológico de aguas residuales, convirtiéndolos en reactores de biofilm de alto rendimiento. La estructura de láminas, fabricada con plásticos de ingeniería, no solo optimiza la transferencia de masa y el crecimiento del biofilm gracias a su excepcional superficie específica y alto volumen de huecos, sino que también confiere una resistencia superior a la colmatación (clogging), un problema recurrente en las tecnologías de soporte convencionales. Esta ingeniería avanzada permite una significativa intensificación del proceso, facilitando la modernización de instalaciones existentes y la </w:t>
      </w:r>
      <w:r>
        <w:rPr>
          <w:rFonts w:ascii="Arial" w:eastAsia="Arial" w:hAnsi="Arial" w:cs="Arial"/>
          <w:color w:val="333333"/>
          <w:sz w:val="22"/>
          <w:szCs w:val="22"/>
        </w:rPr>
        <w:lastRenderedPageBreak/>
        <w:t>construcción de plantas con una huella reducida, menor consumo energético y una operación más estable y de bajo mantenimiento.</w:t>
      </w:r>
    </w:p>
    <w:p w14:paraId="430CD831" w14:textId="77777777" w:rsidR="00273F0F" w:rsidRDefault="00000000">
      <w:pPr>
        <w:pStyle w:val="Heading1"/>
        <w:pBdr>
          <w:bottom w:val="single" w:sz="6" w:space="1" w:color="307177"/>
        </w:pBdr>
        <w:spacing w:before="400" w:after="200"/>
      </w:pPr>
      <w:r>
        <w:rPr>
          <w:rFonts w:ascii="Arial" w:eastAsia="Arial" w:hAnsi="Arial" w:cs="Arial"/>
          <w:b/>
          <w:bCs/>
          <w:color w:val="307177"/>
        </w:rPr>
        <w:t>REFERENCIAS</w:t>
      </w:r>
    </w:p>
    <w:p w14:paraId="5ECEB793" w14:textId="77777777" w:rsidR="00273F0F" w:rsidRDefault="00000000">
      <w:pPr>
        <w:spacing w:after="180" w:line="280" w:lineRule="auto"/>
      </w:pPr>
      <w:r>
        <w:rPr>
          <w:rFonts w:ascii="Arial" w:eastAsia="Arial" w:hAnsi="Arial" w:cs="Arial"/>
          <w:color w:val="333333"/>
          <w:sz w:val="22"/>
          <w:szCs w:val="22"/>
        </w:rPr>
        <w:t>La tecnología cuenta con miles de instalaciones a nivel mundial bajo las marcas 2H y ENEXIO. Proyectos notables incluyen la modernización de la EDAR de Bad Dürrheim (Alemania) para mejorar la nitrificación y el tratamiento de efluentes en la planta de la maderera Ainsworth Lumber (Canadá). PWTech, distribuidor en EE.UU., reporta numerosas instalaciones en plantas municipales e industriales en toda América del Norte.</w:t>
      </w:r>
    </w:p>
    <w:p w14:paraId="3B657232" w14:textId="77777777" w:rsidR="00273F0F" w:rsidRDefault="00000000">
      <w:pPr>
        <w:pStyle w:val="Heading1"/>
        <w:pBdr>
          <w:bottom w:val="single" w:sz="6" w:space="1" w:color="307177"/>
        </w:pBdr>
        <w:spacing w:before="400" w:after="200"/>
      </w:pPr>
      <w:r>
        <w:rPr>
          <w:rFonts w:ascii="Arial" w:eastAsia="Arial" w:hAnsi="Arial" w:cs="Arial"/>
          <w:b/>
          <w:bCs/>
          <w:color w:val="307177"/>
        </w:rPr>
        <w:t>NOTAS DEL ANALISTA</w:t>
      </w:r>
    </w:p>
    <w:p w14:paraId="3DDAC24E" w14:textId="77777777" w:rsidR="00273F0F" w:rsidRDefault="00000000">
      <w:pPr>
        <w:spacing w:after="200"/>
      </w:pPr>
      <w:r>
        <w:rPr>
          <w:rFonts w:ascii="Arial" w:eastAsia="Arial" w:hAnsi="Arial" w:cs="Arial"/>
          <w:i/>
          <w:iCs/>
          <w:color w:val="333333"/>
          <w:sz w:val="22"/>
          <w:szCs w:val="22"/>
        </w:rPr>
        <w:t>El proceso 2H, basado en rellenos plásticos estructurados de alto rendimiento, representa una solución madura (TRL 9) y consolidada para el tratamiento biológico de aguas residuales municipales e industriales. Su principal fortaleza reside en la maximización de la superficie específica y el volumen de huecos, lo que optimiza la formación y estabilidad de biopelículas, garantizando una alta eficiencia de transferencia de masa y una excepcional resistencia a la colmatación. Esto se traduce en una propuesta de valor real: reducción significativa de la huella de implantación y del consumo energético comparado con los sistemas de lodos activados convencionales, junto con una operación más estable y de bajo mantenimiento. A diferencia de medios aleatorios, el diseño estructurado asegura una distribución hidráulica superior y menor pérdida de carga, permitiendo mayores cargas orgánicas y una mayor capacidad de tratamiento en el mismo volumen. Si bien la tecnología es robusta, su eficacia óptima depende de un diseño hidráulico y biológico adecuado para las cargas específicas, y como todo sistema biológico, requiere pre-tratamiento y puede ser susceptible a picos de carga tóxica severos. Su aplicación es ideal tanto para nuevas instalaciones compactas como para la modernización de plantas existentes que buscan aumentar capacidad de eliminación de DBO5, nitrificación y/o desnitrificación.</w:t>
      </w:r>
    </w:p>
    <w:p w14:paraId="0C5CF185" w14:textId="77777777" w:rsidR="00273F0F" w:rsidRDefault="00000000">
      <w:pPr>
        <w:pStyle w:val="Heading1"/>
        <w:pBdr>
          <w:bottom w:val="single" w:sz="6" w:space="1" w:color="307177"/>
        </w:pBdr>
        <w:spacing w:before="400" w:after="200"/>
      </w:pPr>
      <w:r>
        <w:rPr>
          <w:rFonts w:ascii="Arial" w:eastAsia="Arial" w:hAnsi="Arial" w:cs="Arial"/>
          <w:b/>
          <w:bCs/>
          <w:color w:val="307177"/>
        </w:rPr>
        <w:t>INFORMACIÓN DE REGISTRO</w:t>
      </w:r>
    </w:p>
    <w:tbl>
      <w:tblPr>
        <w:tblW w:w="5000" w:type="pct"/>
        <w:tblBorders>
          <w:top w:val="single" w:sz="4" w:space="0" w:color="E5E7EB"/>
          <w:left w:val="single" w:sz="4" w:space="0" w:color="E5E7EB"/>
          <w:bottom w:val="single" w:sz="4" w:space="0" w:color="E5E7EB"/>
          <w:right w:val="single" w:sz="4" w:space="0" w:color="E5E7EB"/>
          <w:insideH w:val="single" w:sz="2" w:space="0" w:color="E5E7EB"/>
          <w:insideV w:val="single" w:sz="2" w:space="0" w:color="E5E7EB"/>
        </w:tblBorders>
        <w:tblLayout w:type="fixed"/>
        <w:tblCellMar>
          <w:left w:w="10" w:type="dxa"/>
          <w:right w:w="10" w:type="dxa"/>
        </w:tblCellMar>
        <w:tblLook w:val="0000" w:firstRow="0" w:lastRow="0" w:firstColumn="0" w:lastColumn="0" w:noHBand="0" w:noVBand="0"/>
      </w:tblPr>
      <w:tblGrid>
        <w:gridCol w:w="3156"/>
        <w:gridCol w:w="5860"/>
      </w:tblGrid>
      <w:tr w:rsidR="00273F0F" w14:paraId="171E75FE"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64AA4438" w14:textId="77777777" w:rsidR="00273F0F" w:rsidRDefault="00000000">
            <w:pPr>
              <w:spacing w:line="260" w:lineRule="auto"/>
            </w:pPr>
            <w:r>
              <w:rPr>
                <w:rFonts w:ascii="Arial" w:eastAsia="Arial" w:hAnsi="Arial" w:cs="Arial"/>
                <w:b/>
                <w:bCs/>
                <w:color w:val="333333"/>
                <w:sz w:val="22"/>
                <w:szCs w:val="22"/>
              </w:rPr>
              <w:t>Fecha de scouting</w:t>
            </w:r>
          </w:p>
        </w:tc>
        <w:tc>
          <w:tcPr>
            <w:tcW w:w="3250" w:type="pct"/>
            <w:tcMar>
              <w:top w:w="100" w:type="dxa"/>
              <w:left w:w="150" w:type="dxa"/>
              <w:bottom w:w="100" w:type="dxa"/>
              <w:right w:w="150" w:type="dxa"/>
            </w:tcMar>
            <w:vAlign w:val="center"/>
          </w:tcPr>
          <w:p w14:paraId="73080E6E" w14:textId="77777777" w:rsidR="00273F0F" w:rsidRDefault="00000000">
            <w:pPr>
              <w:spacing w:line="260" w:lineRule="auto"/>
            </w:pPr>
            <w:r>
              <w:rPr>
                <w:rFonts w:ascii="Arial" w:eastAsia="Arial" w:hAnsi="Arial" w:cs="Arial"/>
                <w:color w:val="333333"/>
                <w:sz w:val="22"/>
                <w:szCs w:val="22"/>
              </w:rPr>
              <w:t>21 de diciembre de 2025</w:t>
            </w:r>
          </w:p>
        </w:tc>
      </w:tr>
      <w:tr w:rsidR="00273F0F" w14:paraId="32C58412"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06A157A3" w14:textId="77777777" w:rsidR="00273F0F" w:rsidRDefault="00000000">
            <w:pPr>
              <w:spacing w:line="260" w:lineRule="auto"/>
            </w:pPr>
            <w:r>
              <w:rPr>
                <w:rFonts w:ascii="Arial" w:eastAsia="Arial" w:hAnsi="Arial" w:cs="Arial"/>
                <w:b/>
                <w:bCs/>
                <w:color w:val="333333"/>
                <w:sz w:val="22"/>
                <w:szCs w:val="22"/>
              </w:rPr>
              <w:t>Fecha de creación</w:t>
            </w:r>
          </w:p>
        </w:tc>
        <w:tc>
          <w:tcPr>
            <w:tcW w:w="3250" w:type="pct"/>
            <w:tcMar>
              <w:top w:w="100" w:type="dxa"/>
              <w:left w:w="150" w:type="dxa"/>
              <w:bottom w:w="100" w:type="dxa"/>
              <w:right w:w="150" w:type="dxa"/>
            </w:tcMar>
            <w:vAlign w:val="center"/>
          </w:tcPr>
          <w:p w14:paraId="76ABAAD4" w14:textId="77777777" w:rsidR="00273F0F" w:rsidRDefault="00000000">
            <w:pPr>
              <w:spacing w:line="260" w:lineRule="auto"/>
            </w:pPr>
            <w:r>
              <w:rPr>
                <w:rFonts w:ascii="Arial" w:eastAsia="Arial" w:hAnsi="Arial" w:cs="Arial"/>
                <w:color w:val="333333"/>
                <w:sz w:val="22"/>
                <w:szCs w:val="22"/>
              </w:rPr>
              <w:t>3 de enero de 2026</w:t>
            </w:r>
          </w:p>
        </w:tc>
      </w:tr>
      <w:tr w:rsidR="00273F0F" w14:paraId="1C95E112"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5E688685" w14:textId="77777777" w:rsidR="00273F0F" w:rsidRDefault="00000000">
            <w:pPr>
              <w:spacing w:line="260" w:lineRule="auto"/>
            </w:pPr>
            <w:r>
              <w:rPr>
                <w:rFonts w:ascii="Arial" w:eastAsia="Arial" w:hAnsi="Arial" w:cs="Arial"/>
                <w:b/>
                <w:bCs/>
                <w:color w:val="333333"/>
                <w:sz w:val="22"/>
                <w:szCs w:val="22"/>
              </w:rPr>
              <w:t>Última actualización</w:t>
            </w:r>
          </w:p>
        </w:tc>
        <w:tc>
          <w:tcPr>
            <w:tcW w:w="3250" w:type="pct"/>
            <w:tcMar>
              <w:top w:w="100" w:type="dxa"/>
              <w:left w:w="150" w:type="dxa"/>
              <w:bottom w:w="100" w:type="dxa"/>
              <w:right w:w="150" w:type="dxa"/>
            </w:tcMar>
            <w:vAlign w:val="center"/>
          </w:tcPr>
          <w:p w14:paraId="6AFD904E" w14:textId="77777777" w:rsidR="00273F0F" w:rsidRDefault="00000000">
            <w:pPr>
              <w:spacing w:line="260" w:lineRule="auto"/>
            </w:pPr>
            <w:r>
              <w:rPr>
                <w:rFonts w:ascii="Arial" w:eastAsia="Arial" w:hAnsi="Arial" w:cs="Arial"/>
                <w:color w:val="333333"/>
                <w:sz w:val="22"/>
                <w:szCs w:val="22"/>
              </w:rPr>
              <w:t>4 de enero de 2026</w:t>
            </w:r>
          </w:p>
        </w:tc>
      </w:tr>
      <w:tr w:rsidR="00273F0F" w14:paraId="0457E307" w14:textId="77777777">
        <w:tblPrEx>
          <w:tblCellMar>
            <w:top w:w="0" w:type="dxa"/>
            <w:bottom w:w="0" w:type="dxa"/>
          </w:tblCellMar>
        </w:tblPrEx>
        <w:tc>
          <w:tcPr>
            <w:tcW w:w="1750" w:type="pct"/>
            <w:shd w:val="solid" w:color="F3F4F6" w:fill="auto"/>
            <w:tcMar>
              <w:top w:w="100" w:type="dxa"/>
              <w:left w:w="150" w:type="dxa"/>
              <w:bottom w:w="100" w:type="dxa"/>
              <w:right w:w="100" w:type="dxa"/>
            </w:tcMar>
            <w:vAlign w:val="center"/>
          </w:tcPr>
          <w:p w14:paraId="3CE83632" w14:textId="77777777" w:rsidR="00273F0F" w:rsidRDefault="00000000">
            <w:pPr>
              <w:spacing w:line="260" w:lineRule="auto"/>
            </w:pPr>
            <w:r>
              <w:rPr>
                <w:rFonts w:ascii="Arial" w:eastAsia="Arial" w:hAnsi="Arial" w:cs="Arial"/>
                <w:b/>
                <w:bCs/>
                <w:color w:val="333333"/>
                <w:sz w:val="22"/>
                <w:szCs w:val="22"/>
              </w:rPr>
              <w:t>Puntuación de calidad</w:t>
            </w:r>
          </w:p>
        </w:tc>
        <w:tc>
          <w:tcPr>
            <w:tcW w:w="3250" w:type="pct"/>
            <w:tcMar>
              <w:top w:w="100" w:type="dxa"/>
              <w:left w:w="150" w:type="dxa"/>
              <w:bottom w:w="100" w:type="dxa"/>
              <w:right w:w="150" w:type="dxa"/>
            </w:tcMar>
            <w:vAlign w:val="center"/>
          </w:tcPr>
          <w:p w14:paraId="33740105" w14:textId="77777777" w:rsidR="00273F0F" w:rsidRDefault="00000000">
            <w:pPr>
              <w:spacing w:line="260" w:lineRule="auto"/>
            </w:pPr>
            <w:r>
              <w:rPr>
                <w:rFonts w:ascii="Arial" w:eastAsia="Arial" w:hAnsi="Arial" w:cs="Arial"/>
                <w:color w:val="333333"/>
                <w:sz w:val="22"/>
                <w:szCs w:val="22"/>
              </w:rPr>
              <w:t>0</w:t>
            </w:r>
          </w:p>
        </w:tc>
      </w:tr>
    </w:tbl>
    <w:p w14:paraId="3AAD3E96" w14:textId="77777777" w:rsidR="00273F0F" w:rsidRDefault="00273F0F">
      <w:pPr>
        <w:spacing w:after="200"/>
      </w:pPr>
    </w:p>
    <w:p w14:paraId="2346DF6E" w14:textId="77777777" w:rsidR="00273F0F" w:rsidRDefault="00273F0F">
      <w:pPr>
        <w:spacing w:before="600"/>
      </w:pPr>
    </w:p>
    <w:p w14:paraId="70F637C1" w14:textId="77777777" w:rsidR="00273F0F" w:rsidRDefault="00000000">
      <w:pPr>
        <w:spacing w:after="100"/>
        <w:jc w:val="center"/>
      </w:pPr>
      <w:r>
        <w:rPr>
          <w:color w:val="666666"/>
          <w:sz w:val="16"/>
          <w:szCs w:val="16"/>
        </w:rPr>
        <w:t>────────────────────────────────────────────────────────────</w:t>
      </w:r>
    </w:p>
    <w:p w14:paraId="30C5DB2E" w14:textId="77777777" w:rsidR="00273F0F" w:rsidRDefault="00000000">
      <w:pPr>
        <w:spacing w:after="50"/>
        <w:jc w:val="center"/>
      </w:pPr>
      <w:r>
        <w:rPr>
          <w:rFonts w:ascii="Arial" w:eastAsia="Arial" w:hAnsi="Arial" w:cs="Arial"/>
          <w:i/>
          <w:iCs/>
          <w:color w:val="307177"/>
          <w:sz w:val="16"/>
          <w:szCs w:val="16"/>
        </w:rPr>
        <w:t>© Vandarum - Innovación aplicada, red global de resultados sostenibles</w:t>
      </w:r>
    </w:p>
    <w:p w14:paraId="31763520" w14:textId="77777777" w:rsidR="00273F0F" w:rsidRDefault="00000000">
      <w:pPr>
        <w:jc w:val="center"/>
      </w:pPr>
      <w:r>
        <w:rPr>
          <w:rFonts w:ascii="Arial" w:eastAsia="Arial" w:hAnsi="Arial" w:cs="Arial"/>
          <w:color w:val="666666"/>
          <w:sz w:val="16"/>
          <w:szCs w:val="16"/>
        </w:rPr>
        <w:t>Documento generado el 9 de enero de 2026 • Todos los derechos reservados</w:t>
      </w:r>
    </w:p>
    <w:sectPr w:rsidR="00273F0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4EAD" w14:textId="77777777" w:rsidR="006D015D" w:rsidRDefault="006D015D">
      <w:r>
        <w:separator/>
      </w:r>
    </w:p>
  </w:endnote>
  <w:endnote w:type="continuationSeparator" w:id="0">
    <w:p w14:paraId="5EF97662" w14:textId="77777777" w:rsidR="006D015D" w:rsidRDefault="006D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3711" w14:textId="77777777" w:rsidR="00273F0F" w:rsidRDefault="00000000">
    <w:pPr>
      <w:spacing w:after="80"/>
      <w:jc w:val="center"/>
    </w:pPr>
    <w:r>
      <w:rPr>
        <w:color w:val="666666"/>
        <w:sz w:val="16"/>
        <w:szCs w:val="16"/>
      </w:rPr>
      <w:t>────────────────────────────────────────────────────────────────────────────────</w:t>
    </w:r>
  </w:p>
  <w:p w14:paraId="346771E0" w14:textId="77777777" w:rsidR="00273F0F" w:rsidRDefault="00000000">
    <w:pPr>
      <w:jc w:val="center"/>
    </w:pPr>
    <w:r>
      <w:rPr>
        <w:rFonts w:ascii="Arial" w:eastAsia="Arial" w:hAnsi="Arial" w:cs="Arial"/>
        <w:color w:val="666666"/>
        <w:sz w:val="16"/>
        <w:szCs w:val="16"/>
      </w:rPr>
      <w:t xml:space="preserve">© 2026 Vandarum - Todos los derechos reservados   |   Página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474C4B">
      <w:rPr>
        <w:rFonts w:ascii="Arial" w:eastAsia="Arial" w:hAnsi="Arial" w:cs="Arial"/>
        <w:noProof/>
        <w:color w:val="666666"/>
        <w:sz w:val="16"/>
        <w:szCs w:val="16"/>
      </w:rPr>
      <w:t>1</w:t>
    </w:r>
    <w:r>
      <w:rPr>
        <w:rFonts w:ascii="Arial" w:eastAsia="Arial" w:hAnsi="Arial" w:cs="Arial"/>
        <w:color w:val="666666"/>
        <w:sz w:val="16"/>
        <w:szCs w:val="16"/>
      </w:rPr>
      <w:fldChar w:fldCharType="end"/>
    </w:r>
    <w:r>
      <w:rPr>
        <w:rFonts w:ascii="Arial" w:eastAsia="Arial" w:hAnsi="Arial" w:cs="Arial"/>
        <w:color w:val="666666"/>
        <w:sz w:val="16"/>
        <w:szCs w:val="16"/>
      </w:rPr>
      <w:t xml:space="preserve"> de </w:t>
    </w:r>
    <w:r>
      <w:rPr>
        <w:rFonts w:ascii="Arial" w:eastAsia="Arial" w:hAnsi="Arial" w:cs="Arial"/>
        <w:color w:val="666666"/>
        <w:sz w:val="16"/>
        <w:szCs w:val="16"/>
      </w:rPr>
      <w:fldChar w:fldCharType="begin"/>
    </w:r>
    <w:r>
      <w:rPr>
        <w:rFonts w:ascii="Arial" w:eastAsia="Arial" w:hAnsi="Arial" w:cs="Arial"/>
        <w:color w:val="666666"/>
        <w:sz w:val="16"/>
        <w:szCs w:val="16"/>
      </w:rPr>
      <w:instrText>NUMPAGES</w:instrText>
    </w:r>
    <w:r>
      <w:rPr>
        <w:rFonts w:ascii="Arial" w:eastAsia="Arial" w:hAnsi="Arial" w:cs="Arial"/>
        <w:color w:val="666666"/>
        <w:sz w:val="16"/>
        <w:szCs w:val="16"/>
      </w:rPr>
      <w:fldChar w:fldCharType="separate"/>
    </w:r>
    <w:r w:rsidR="00474C4B">
      <w:rPr>
        <w:rFonts w:ascii="Arial" w:eastAsia="Arial" w:hAnsi="Arial" w:cs="Arial"/>
        <w:noProof/>
        <w:color w:val="666666"/>
        <w:sz w:val="16"/>
        <w:szCs w:val="16"/>
      </w:rPr>
      <w:t>2</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74BE" w14:textId="77777777" w:rsidR="006D015D" w:rsidRDefault="006D015D">
      <w:r>
        <w:separator/>
      </w:r>
    </w:p>
  </w:footnote>
  <w:footnote w:type="continuationSeparator" w:id="0">
    <w:p w14:paraId="17BBA6BA" w14:textId="77777777" w:rsidR="006D015D" w:rsidRDefault="006D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98AA" w14:textId="77777777" w:rsidR="00273F0F" w:rsidRDefault="00000000">
    <w:pPr>
      <w:pBdr>
        <w:bottom w:val="single" w:sz="4" w:space="4" w:color="666666"/>
      </w:pBdr>
      <w:spacing w:after="200"/>
      <w:jc w:val="right"/>
    </w:pPr>
    <w:r>
      <w:rPr>
        <w:rFonts w:ascii="Arial" w:eastAsia="Arial" w:hAnsi="Arial" w:cs="Arial"/>
        <w:i/>
        <w:iCs/>
        <w:color w:val="666666"/>
        <w:sz w:val="16"/>
        <w:szCs w:val="16"/>
      </w:rPr>
      <w:t>2H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6A5C"/>
    <w:multiLevelType w:val="hybridMultilevel"/>
    <w:tmpl w:val="205478FC"/>
    <w:lvl w:ilvl="0" w:tplc="F4586B44">
      <w:start w:val="1"/>
      <w:numFmt w:val="decimal"/>
      <w:lvlText w:val="%1."/>
      <w:lvlJc w:val="left"/>
      <w:pPr>
        <w:ind w:left="720" w:hanging="360"/>
      </w:pPr>
    </w:lvl>
    <w:lvl w:ilvl="1" w:tplc="A022D5DE">
      <w:start w:val="1"/>
      <w:numFmt w:val="lowerLetter"/>
      <w:lvlText w:val="%2)"/>
      <w:lvlJc w:val="left"/>
      <w:pPr>
        <w:ind w:left="1080" w:hanging="360"/>
      </w:pPr>
    </w:lvl>
    <w:lvl w:ilvl="2" w:tplc="41ACE214">
      <w:numFmt w:val="decimal"/>
      <w:lvlText w:val=""/>
      <w:lvlJc w:val="left"/>
    </w:lvl>
    <w:lvl w:ilvl="3" w:tplc="BA92F14C">
      <w:numFmt w:val="decimal"/>
      <w:lvlText w:val=""/>
      <w:lvlJc w:val="left"/>
    </w:lvl>
    <w:lvl w:ilvl="4" w:tplc="AD7C06FA">
      <w:numFmt w:val="decimal"/>
      <w:lvlText w:val=""/>
      <w:lvlJc w:val="left"/>
    </w:lvl>
    <w:lvl w:ilvl="5" w:tplc="1D9EBAE0">
      <w:numFmt w:val="decimal"/>
      <w:lvlText w:val=""/>
      <w:lvlJc w:val="left"/>
    </w:lvl>
    <w:lvl w:ilvl="6" w:tplc="C51439FE">
      <w:numFmt w:val="decimal"/>
      <w:lvlText w:val=""/>
      <w:lvlJc w:val="left"/>
    </w:lvl>
    <w:lvl w:ilvl="7" w:tplc="4858ACCE">
      <w:numFmt w:val="decimal"/>
      <w:lvlText w:val=""/>
      <w:lvlJc w:val="left"/>
    </w:lvl>
    <w:lvl w:ilvl="8" w:tplc="F3F0D990">
      <w:numFmt w:val="decimal"/>
      <w:lvlText w:val=""/>
      <w:lvlJc w:val="left"/>
    </w:lvl>
  </w:abstractNum>
  <w:abstractNum w:abstractNumId="1" w15:restartNumberingAfterBreak="0">
    <w:nsid w:val="38497F27"/>
    <w:multiLevelType w:val="hybridMultilevel"/>
    <w:tmpl w:val="950C7A46"/>
    <w:lvl w:ilvl="0" w:tplc="456EF61A">
      <w:start w:val="1"/>
      <w:numFmt w:val="bullet"/>
      <w:lvlText w:val="●"/>
      <w:lvlJc w:val="left"/>
      <w:pPr>
        <w:ind w:left="720" w:hanging="360"/>
      </w:pPr>
    </w:lvl>
    <w:lvl w:ilvl="1" w:tplc="0D24968E">
      <w:start w:val="1"/>
      <w:numFmt w:val="bullet"/>
      <w:lvlText w:val="○"/>
      <w:lvlJc w:val="left"/>
      <w:pPr>
        <w:ind w:left="1440" w:hanging="360"/>
      </w:pPr>
    </w:lvl>
    <w:lvl w:ilvl="2" w:tplc="348C3D6E">
      <w:start w:val="1"/>
      <w:numFmt w:val="bullet"/>
      <w:lvlText w:val="■"/>
      <w:lvlJc w:val="left"/>
      <w:pPr>
        <w:ind w:left="2160" w:hanging="360"/>
      </w:pPr>
    </w:lvl>
    <w:lvl w:ilvl="3" w:tplc="172C577E">
      <w:start w:val="1"/>
      <w:numFmt w:val="bullet"/>
      <w:lvlText w:val="●"/>
      <w:lvlJc w:val="left"/>
      <w:pPr>
        <w:ind w:left="2880" w:hanging="360"/>
      </w:pPr>
    </w:lvl>
    <w:lvl w:ilvl="4" w:tplc="D07A70FA">
      <w:start w:val="1"/>
      <w:numFmt w:val="bullet"/>
      <w:lvlText w:val="○"/>
      <w:lvlJc w:val="left"/>
      <w:pPr>
        <w:ind w:left="3600" w:hanging="360"/>
      </w:pPr>
    </w:lvl>
    <w:lvl w:ilvl="5" w:tplc="A7AE410A">
      <w:start w:val="1"/>
      <w:numFmt w:val="bullet"/>
      <w:lvlText w:val="■"/>
      <w:lvlJc w:val="left"/>
      <w:pPr>
        <w:ind w:left="4320" w:hanging="360"/>
      </w:pPr>
    </w:lvl>
    <w:lvl w:ilvl="6" w:tplc="9C946C0C">
      <w:start w:val="1"/>
      <w:numFmt w:val="bullet"/>
      <w:lvlText w:val="●"/>
      <w:lvlJc w:val="left"/>
      <w:pPr>
        <w:ind w:left="5040" w:hanging="360"/>
      </w:pPr>
    </w:lvl>
    <w:lvl w:ilvl="7" w:tplc="A2AE8A14">
      <w:start w:val="1"/>
      <w:numFmt w:val="bullet"/>
      <w:lvlText w:val="●"/>
      <w:lvlJc w:val="left"/>
      <w:pPr>
        <w:ind w:left="5760" w:hanging="360"/>
      </w:pPr>
    </w:lvl>
    <w:lvl w:ilvl="8" w:tplc="9932A0B0">
      <w:start w:val="1"/>
      <w:numFmt w:val="bullet"/>
      <w:lvlText w:val="●"/>
      <w:lvlJc w:val="left"/>
      <w:pPr>
        <w:ind w:left="6480" w:hanging="360"/>
      </w:pPr>
    </w:lvl>
  </w:abstractNum>
  <w:num w:numId="1" w16cid:durableId="1567643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F0F"/>
    <w:rsid w:val="00273F0F"/>
    <w:rsid w:val="00474C4B"/>
    <w:rsid w:val="006D015D"/>
    <w:rsid w:val="00FE7652"/>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6A068FD"/>
  <w15:docId w15:val="{757828E9-CC09-4743-A181-04A5516D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Words>
  <Characters>6592</Characters>
  <Application>Microsoft Office Word</Application>
  <DocSecurity>0</DocSecurity>
  <Lines>143</Lines>
  <Paragraphs>64</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Arroyo</cp:lastModifiedBy>
  <cp:revision>2</cp:revision>
  <dcterms:created xsi:type="dcterms:W3CDTF">2026-01-09T16:30:00Z</dcterms:created>
  <dcterms:modified xsi:type="dcterms:W3CDTF">2026-01-09T16:30:00Z</dcterms:modified>
</cp:coreProperties>
</file>